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1138395" w:displacedByCustomXml="next"/>
    <w:bookmarkStart w:id="2" w:name="_Toc481138187" w:displacedByCustomXml="next"/>
    <w:bookmarkStart w:id="3" w:name="_Toc48098887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0B26D8CCC9534309B9B5E9DB9F905536"/>
            </w:placeholder>
            <w:showingPlcHdr/>
            <w:text/>
          </w:sdtPr>
          <w:sdtEndPr/>
          <w:sdtContent>
            <w:p w14:paraId="153BFA71" w14:textId="77777777" w:rsidR="00067DD9" w:rsidRDefault="00067DD9" w:rsidP="00633068">
              <w:pPr>
                <w:pStyle w:val="NoSpacing"/>
                <w:sectPr w:rsidR="00067DD9" w:rsidSect="00703C67">
                  <w:headerReference w:type="default" r:id="rId11"/>
                  <w:headerReference w:type="first" r:id="rId12"/>
                  <w:type w:val="continuous"/>
                  <w:pgSz w:w="11906" w:h="16838" w:code="9"/>
                  <w:pgMar w:top="1134" w:right="1134" w:bottom="1134" w:left="1134" w:header="709" w:footer="692" w:gutter="0"/>
                  <w:pgNumType w:start="0"/>
                  <w:cols w:space="708"/>
                  <w:docGrid w:linePitch="360"/>
                </w:sectPr>
              </w:pPr>
              <w:r>
                <w:t xml:space="preserve">  </w:t>
              </w:r>
            </w:p>
          </w:sdtContent>
        </w:sdt>
        <w:p w14:paraId="39038C21" w14:textId="418F03D4" w:rsidR="00067DD9" w:rsidRPr="0063494B" w:rsidRDefault="008E655E" w:rsidP="00633068">
          <w:pPr>
            <w:pStyle w:val="Title"/>
          </w:pPr>
          <w:sdt>
            <w:sdtPr>
              <w:alias w:val="Title"/>
              <w:tag w:val=""/>
              <w:id w:val="-1656833702"/>
              <w:placeholder>
                <w:docPart w:val="CD34D51FC7ED4B339ADA211D80BD0736"/>
              </w:placeholder>
              <w:dataBinding w:prefixMappings="xmlns:ns0='http://purl.org/dc/elements/1.1/' xmlns:ns1='http://schemas.openxmlformats.org/package/2006/metadata/core-properties' " w:xpath="/ns1:coreProperties[1]/ns0:title[1]" w:storeItemID="{6C3C8BC8-F283-45AE-878A-BAB7291924A1}"/>
              <w:text/>
            </w:sdtPr>
            <w:sdtEndPr/>
            <w:sdtContent>
              <w:r w:rsidR="00481D2E">
                <w:t>Taxi reviews 2024: unbooked taxi fares and non-cash payment surcharge</w:t>
              </w:r>
            </w:sdtContent>
          </w:sdt>
        </w:p>
        <w:sdt>
          <w:sdtPr>
            <w:alias w:val="Subtitle"/>
            <w:tag w:val=""/>
            <w:id w:val="1140151582"/>
            <w:placeholder>
              <w:docPart w:val="497FFFCC3E4C42669754D74AE9ACD1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823A7FA" w14:textId="36387990" w:rsidR="00067DD9" w:rsidRDefault="00481D2E" w:rsidP="00633068">
              <w:pPr>
                <w:pStyle w:val="Subtitle"/>
              </w:pPr>
              <w:r>
                <w:t>Consultation paper</w:t>
              </w:r>
            </w:p>
          </w:sdtContent>
        </w:sdt>
        <w:p w14:paraId="6AF0016D" w14:textId="6EDA5B6D" w:rsidR="00067DD9" w:rsidRDefault="008E655E" w:rsidP="000A7FD9">
          <w:pPr>
            <w:pStyle w:val="Subtitle"/>
          </w:pPr>
          <w:sdt>
            <w:sdtPr>
              <w:id w:val="1251166870"/>
              <w:placeholder>
                <w:docPart w:val="A723C0574D55492B9A7CFA29173E400A"/>
              </w:placeholder>
              <w:date w:fullDate="2023-10-31T00:00:00Z">
                <w:dateFormat w:val="d MMMM yyyy"/>
                <w:lid w:val="en-US"/>
                <w:storeMappedDataAs w:val="dateTime"/>
                <w:calendar w:val="gregorian"/>
              </w:date>
            </w:sdtPr>
            <w:sdtEndPr/>
            <w:sdtContent>
              <w:r w:rsidR="00481D2E">
                <w:rPr>
                  <w:lang w:val="en-US"/>
                </w:rPr>
                <w:t>31 October 2023</w:t>
              </w:r>
            </w:sdtContent>
          </w:sdt>
        </w:p>
        <w:p w14:paraId="1473AA1C" w14:textId="77777777" w:rsidR="00067DD9" w:rsidRDefault="00067DD9"/>
        <w:p w14:paraId="3451C339" w14:textId="77777777" w:rsidR="00067DD9" w:rsidRDefault="00067DD9">
          <w:pPr>
            <w:spacing w:line="259" w:lineRule="auto"/>
          </w:pPr>
          <w:r>
            <w:br w:type="page"/>
          </w:r>
        </w:p>
      </w:sdtContent>
    </w:sdt>
    <w:p w14:paraId="3FBB2D63" w14:textId="77777777" w:rsidR="00D04C6D" w:rsidRDefault="00D04C6D" w:rsidP="00D04C6D"/>
    <w:p w14:paraId="0AC8F3FA" w14:textId="77777777" w:rsidR="00D04C6D" w:rsidRDefault="00D04C6D" w:rsidP="00D04C6D"/>
    <w:p w14:paraId="5A447C76" w14:textId="77777777" w:rsidR="00D04C6D" w:rsidRDefault="00D04C6D" w:rsidP="00D04C6D"/>
    <w:p w14:paraId="10678F04" w14:textId="77777777" w:rsidR="00D04C6D" w:rsidRDefault="00D04C6D" w:rsidP="00D04C6D"/>
    <w:p w14:paraId="6FE63F40" w14:textId="77777777" w:rsidR="00D04C6D" w:rsidRDefault="00D04C6D" w:rsidP="00D04C6D"/>
    <w:p w14:paraId="6F15804B" w14:textId="77777777" w:rsidR="00D04C6D" w:rsidRDefault="00D04C6D" w:rsidP="00D04C6D">
      <w:pPr>
        <w:pStyle w:val="Heading2"/>
      </w:pPr>
      <w:bookmarkStart w:id="5" w:name="_Toc148433343"/>
      <w:r>
        <w:t>Acknowledgement</w:t>
      </w:r>
      <w:bookmarkEnd w:id="5"/>
    </w:p>
    <w:p w14:paraId="26E7BBCD" w14:textId="77777777" w:rsidR="00D04C6D" w:rsidRDefault="00D04C6D" w:rsidP="00D04C6D">
      <w:r>
        <w:t>We acknowledge the Traditional Owners of the lands and waterways on which we work and live.</w:t>
      </w:r>
    </w:p>
    <w:p w14:paraId="231C795F" w14:textId="77777777" w:rsidR="00D04C6D" w:rsidRDefault="00D04C6D" w:rsidP="00D04C6D">
      <w:r>
        <w:t xml:space="preserve">We acknowledge all Aboriginal and Torres Strait Islander </w:t>
      </w:r>
      <w:proofErr w:type="gramStart"/>
      <w:r>
        <w:t>communities, and</w:t>
      </w:r>
      <w:proofErr w:type="gramEnd"/>
      <w:r>
        <w:t xml:space="preserve"> pay our respects to Elders past and present.</w:t>
      </w:r>
    </w:p>
    <w:p w14:paraId="1668F972" w14:textId="77777777" w:rsidR="00D04C6D" w:rsidRDefault="00D04C6D" w:rsidP="00D04C6D">
      <w:r>
        <w:t>As the First Peoples of this land, belonging to the world’s oldest living cultures, we recognise and value their knowledge, and ongoing role in shaping and enriching the story of Victoria.  </w:t>
      </w:r>
    </w:p>
    <w:p w14:paraId="54364C46" w14:textId="77777777" w:rsidR="00F83935" w:rsidRDefault="00F83935" w:rsidP="000D4547">
      <w:pPr>
        <w:pStyle w:val="NoSpacing"/>
        <w:rPr>
          <w:b/>
        </w:rPr>
      </w:pPr>
    </w:p>
    <w:p w14:paraId="42190CAB" w14:textId="77777777" w:rsidR="00D04C6D" w:rsidRDefault="00D04C6D" w:rsidP="00F83935">
      <w:pPr>
        <w:spacing w:line="259" w:lineRule="auto"/>
        <w:rPr>
          <w:rStyle w:val="Strong"/>
        </w:rPr>
      </w:pPr>
    </w:p>
    <w:p w14:paraId="5607E3E5" w14:textId="77777777" w:rsidR="00D04C6D" w:rsidRDefault="00D04C6D" w:rsidP="00F83935">
      <w:pPr>
        <w:spacing w:line="259" w:lineRule="auto"/>
        <w:rPr>
          <w:rStyle w:val="Strong"/>
        </w:rPr>
      </w:pPr>
    </w:p>
    <w:p w14:paraId="07BEB7FD" w14:textId="77777777" w:rsidR="00D04C6D" w:rsidRDefault="00D04C6D" w:rsidP="00F83935">
      <w:pPr>
        <w:spacing w:line="259" w:lineRule="auto"/>
        <w:rPr>
          <w:rStyle w:val="Strong"/>
        </w:rPr>
      </w:pPr>
    </w:p>
    <w:p w14:paraId="3AA518B0" w14:textId="77777777" w:rsidR="00D04C6D" w:rsidRDefault="00D04C6D" w:rsidP="00F83935">
      <w:pPr>
        <w:spacing w:line="259" w:lineRule="auto"/>
        <w:rPr>
          <w:rStyle w:val="Strong"/>
        </w:rPr>
      </w:pPr>
    </w:p>
    <w:p w14:paraId="6AB0DF1E"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1E6C712B" w14:textId="12B913A7" w:rsidR="00943BDE" w:rsidRDefault="00881E07" w:rsidP="00943BDE">
      <w:r>
        <w:t>Essential Services Commission</w:t>
      </w:r>
      <w:r w:rsidR="003904B9">
        <w:t xml:space="preserve"> </w:t>
      </w:r>
      <w:sdt>
        <w:sdtPr>
          <w:alias w:val="Year"/>
          <w:tag w:val="Year"/>
          <w:id w:val="-1184668763"/>
          <w:placeholder>
            <w:docPart w:val="F0144DCCD14F4430B410C534DEC49CFC"/>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C07E88">
            <w:t>2023</w:t>
          </w:r>
        </w:sdtContent>
      </w:sdt>
      <w:r>
        <w:t xml:space="preserve">, </w:t>
      </w:r>
      <w:sdt>
        <w:sdtPr>
          <w:alias w:val="Title"/>
          <w:tag w:val=""/>
          <w:id w:val="1260560542"/>
          <w:placeholder>
            <w:docPart w:val="26784A1D736647D8B114B513D6A59510"/>
          </w:placeholder>
          <w:dataBinding w:prefixMappings="xmlns:ns0='http://purl.org/dc/elements/1.1/' xmlns:ns1='http://schemas.openxmlformats.org/package/2006/metadata/core-properties' " w:xpath="/ns1:coreProperties[1]/ns0:title[1]" w:storeItemID="{6C3C8BC8-F283-45AE-878A-BAB7291924A1}"/>
          <w:text/>
        </w:sdtPr>
        <w:sdtEndPr/>
        <w:sdtContent>
          <w:r w:rsidR="00481D2E">
            <w:t>Taxi reviews 2024: unbooked taxi fares and non-cash payment surcharge</w:t>
          </w:r>
        </w:sdtContent>
      </w:sdt>
      <w:r w:rsidR="00633068">
        <w:t xml:space="preserve">: </w:t>
      </w:r>
      <w:sdt>
        <w:sdtPr>
          <w:alias w:val="Subtitle"/>
          <w:tag w:val=""/>
          <w:id w:val="-295916621"/>
          <w:placeholder>
            <w:docPart w:val="C3B5F2BDCEE444C89923D06CD3C3F2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1D2E">
            <w:t>Consultation paper</w:t>
          </w:r>
        </w:sdtContent>
      </w:sdt>
      <w:r w:rsidR="00012434">
        <w:t>,</w:t>
      </w:r>
      <w:r w:rsidR="00633068">
        <w:t xml:space="preserve"> </w:t>
      </w:r>
      <w:sdt>
        <w:sdtPr>
          <w:alias w:val="Date"/>
          <w:tag w:val="Year"/>
          <w:id w:val="-733004738"/>
          <w:placeholder>
            <w:docPart w:val="25829CA3E66540D0959F40C4B2A5C63E"/>
          </w:placeholder>
          <w:date w:fullDate="2023-10-31T00:00:00Z">
            <w:dateFormat w:val="d MMMM "/>
            <w:lid w:val="en-US"/>
            <w:storeMappedDataAs w:val="dateTime"/>
            <w:calendar w:val="gregorian"/>
          </w:date>
        </w:sdtPr>
        <w:sdtEndPr/>
        <w:sdtContent>
          <w:r w:rsidR="00C07E88">
            <w:rPr>
              <w:lang w:val="en-US"/>
            </w:rPr>
            <w:t xml:space="preserve">31 October </w:t>
          </w:r>
        </w:sdtContent>
      </w:sdt>
    </w:p>
    <w:p w14:paraId="413E4E58" w14:textId="77777777" w:rsidR="00710792" w:rsidRDefault="00710792" w:rsidP="00710792">
      <w:pPr>
        <w:rPr>
          <w:rStyle w:val="Strong"/>
        </w:rPr>
      </w:pPr>
      <w:bookmarkStart w:id="6" w:name="_Toc480988876"/>
      <w:bookmarkStart w:id="7" w:name="_Toc481138188"/>
      <w:bookmarkStart w:id="8" w:name="_Toc481138396"/>
    </w:p>
    <w:bookmarkEnd w:id="6"/>
    <w:bookmarkEnd w:id="7"/>
    <w:bookmarkEnd w:id="8"/>
    <w:p w14:paraId="0E506A00" w14:textId="77777777" w:rsidR="0050064B" w:rsidRDefault="00881E07" w:rsidP="00943BDE">
      <w:r>
        <w:t xml:space="preserve">© </w:t>
      </w:r>
      <w:r w:rsidR="00563AD8">
        <w:t>Essential Services Commission</w:t>
      </w:r>
      <w:r w:rsidR="00012434">
        <w:t>,</w:t>
      </w:r>
      <w:r w:rsidR="00563AD8">
        <w:t xml:space="preserve"> </w:t>
      </w:r>
      <w:sdt>
        <w:sdtPr>
          <w:alias w:val="Year"/>
          <w:tag w:val="Year"/>
          <w:id w:val="1606076632"/>
          <w:placeholder>
            <w:docPart w:val="AED240F9F4284DE780CFD1F88DF04FC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6D6E5A">
            <w:t>2023</w:t>
          </w:r>
        </w:sdtContent>
      </w:sdt>
    </w:p>
    <w:p w14:paraId="3DFF4848" w14:textId="77777777" w:rsidR="00881E07" w:rsidRDefault="0050064B" w:rsidP="00881E07">
      <w:r w:rsidRPr="00F70F20">
        <w:rPr>
          <w:noProof/>
          <w:lang w:eastAsia="en-AU"/>
        </w:rPr>
        <w:drawing>
          <wp:inline distT="0" distB="0" distL="0" distR="0" wp14:anchorId="1F51958D" wp14:editId="17E2F4F4">
            <wp:extent cx="1198800" cy="421200"/>
            <wp:effectExtent l="0" t="0" r="1905" b="0"/>
            <wp:docPr id="4" name="Picture 4" descr="untitl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0584DA89" w14:textId="054486A5" w:rsidR="00881E07" w:rsidRDefault="00881E07" w:rsidP="00881E07">
      <w:r>
        <w:t xml:space="preserve">This work, </w:t>
      </w:r>
      <w:sdt>
        <w:sdtPr>
          <w:alias w:val="Title"/>
          <w:tag w:val=""/>
          <w:id w:val="1731569904"/>
          <w:placeholder>
            <w:docPart w:val="487FBD851FCC403582D343AFA8BA353C"/>
          </w:placeholder>
          <w:dataBinding w:prefixMappings="xmlns:ns0='http://purl.org/dc/elements/1.1/' xmlns:ns1='http://schemas.openxmlformats.org/package/2006/metadata/core-properties' " w:xpath="/ns1:coreProperties[1]/ns0:title[1]" w:storeItemID="{6C3C8BC8-F283-45AE-878A-BAB7291924A1}"/>
          <w:text/>
        </w:sdtPr>
        <w:sdtEndPr/>
        <w:sdtContent>
          <w:r w:rsidR="00481D2E">
            <w:t>Taxi reviews 2024: unbooked taxi fares and non-cash payment surcharge</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7D15A89D" w14:textId="2CF4E20B" w:rsidR="004309BF" w:rsidRDefault="00881E07" w:rsidP="004309BF">
      <w:r>
        <w:t xml:space="preserve">The licence does not apply to any brand logo, </w:t>
      </w:r>
      <w:proofErr w:type="gramStart"/>
      <w:r>
        <w:t>images</w:t>
      </w:r>
      <w:proofErr w:type="gramEnd"/>
      <w:r>
        <w:t xml:space="preserve"> or photographs within the publication.</w:t>
      </w:r>
      <w:bookmarkEnd w:id="4"/>
      <w:sdt>
        <w:sdtPr>
          <w:id w:val="1641840776"/>
          <w:lock w:val="sdtContentLocked"/>
          <w:placeholder>
            <w:docPart w:val="263E7BA8FD8B4D3FB49F8A47DF3F1C90"/>
          </w:placeholder>
          <w:showingPlcHdr/>
          <w:text/>
        </w:sdtPr>
        <w:sdtEndPr/>
        <w:sdtContent>
          <w:r w:rsidR="004309BF">
            <w:t xml:space="preserve">  </w:t>
          </w:r>
        </w:sdtContent>
      </w:sdt>
    </w:p>
    <w:p w14:paraId="42F287AB" w14:textId="77777777" w:rsidR="008F7087" w:rsidRDefault="008F7087" w:rsidP="00710792">
      <w:pPr>
        <w:pStyle w:val="Heading1"/>
        <w:sectPr w:rsidR="008F7087" w:rsidSect="008F7087">
          <w:headerReference w:type="default" r:id="rId15"/>
          <w:footerReference w:type="default" r:id="rId16"/>
          <w:type w:val="continuous"/>
          <w:pgSz w:w="11906" w:h="16838" w:code="9"/>
          <w:pgMar w:top="1134" w:right="1134" w:bottom="1134" w:left="1134" w:header="709" w:footer="692" w:gutter="0"/>
          <w:pgNumType w:fmt="lowerRoman"/>
          <w:cols w:space="708"/>
          <w:docGrid w:linePitch="360"/>
        </w:sectPr>
      </w:pPr>
      <w:bookmarkStart w:id="9" w:name="_Toc481138189"/>
      <w:bookmarkStart w:id="10" w:name="_Toc481138397"/>
    </w:p>
    <w:bookmarkEnd w:id="9"/>
    <w:bookmarkEnd w:id="10"/>
    <w:p w14:paraId="07463261" w14:textId="77777777" w:rsidR="00A75100" w:rsidRDefault="00A75100">
      <w:pPr>
        <w:spacing w:before="0" w:line="259" w:lineRule="auto"/>
      </w:pPr>
      <w:r>
        <w:br w:type="page"/>
      </w:r>
    </w:p>
    <w:p w14:paraId="1DE986DA" w14:textId="46D11B83" w:rsidR="00D3670C" w:rsidRPr="00394187" w:rsidRDefault="00D3670C" w:rsidP="00394187">
      <w:pPr>
        <w:pStyle w:val="TOCHeading"/>
        <w:rPr>
          <w:rStyle w:val="Hyperlink"/>
          <w:color w:val="CE0058" w:themeColor="accent2"/>
          <w:u w:val="none"/>
        </w:rPr>
      </w:pPr>
      <w:r w:rsidRPr="00394187">
        <w:rPr>
          <w:rStyle w:val="Hyperlink"/>
          <w:color w:val="CE0058" w:themeColor="accent2"/>
          <w:u w:val="none"/>
        </w:rPr>
        <w:lastRenderedPageBreak/>
        <w:t>Contents</w:t>
      </w:r>
    </w:p>
    <w:p w14:paraId="4B9940B2" w14:textId="02E48048" w:rsidR="00D95779" w:rsidRDefault="00782E55" w:rsidP="00881B8B">
      <w:pPr>
        <w:pStyle w:val="TOC3"/>
        <w:rPr>
          <w:rFonts w:eastAsiaTheme="minorEastAsia"/>
          <w:kern w:val="2"/>
          <w:lang w:eastAsia="en-AU"/>
          <w14:ligatures w14:val="standardContextual"/>
        </w:rPr>
      </w:pPr>
      <w:r>
        <w:rPr>
          <w:b/>
        </w:rPr>
        <w:fldChar w:fldCharType="begin"/>
      </w:r>
      <w:r>
        <w:instrText xml:space="preserve"> TOC \h \z \t "Heading 1,1,Heading 2,3,Heading 3,5,Heading 1 numbered,2,Heading 2 numbered,4,Heading 3 numbered,6" </w:instrText>
      </w:r>
      <w:r>
        <w:rPr>
          <w:b/>
        </w:rPr>
        <w:fldChar w:fldCharType="separate"/>
      </w:r>
    </w:p>
    <w:p w14:paraId="5153C42E" w14:textId="283190EC" w:rsidR="00D95779" w:rsidRDefault="008E655E">
      <w:pPr>
        <w:pStyle w:val="TOC1"/>
        <w:rPr>
          <w:rFonts w:eastAsiaTheme="minorEastAsia"/>
          <w:b w:val="0"/>
          <w:noProof/>
          <w:kern w:val="2"/>
          <w:lang w:eastAsia="en-AU"/>
          <w14:ligatures w14:val="standardContextual"/>
        </w:rPr>
      </w:pPr>
      <w:hyperlink w:anchor="_Toc148433344" w:history="1">
        <w:r w:rsidR="00D95779" w:rsidRPr="007C75CF">
          <w:rPr>
            <w:rStyle w:val="Hyperlink"/>
            <w:noProof/>
          </w:rPr>
          <w:t>Summary</w:t>
        </w:r>
        <w:r w:rsidR="00D95779">
          <w:rPr>
            <w:noProof/>
            <w:webHidden/>
          </w:rPr>
          <w:tab/>
        </w:r>
        <w:r w:rsidR="00D95779">
          <w:rPr>
            <w:noProof/>
            <w:webHidden/>
          </w:rPr>
          <w:fldChar w:fldCharType="begin"/>
        </w:r>
        <w:r w:rsidR="00D95779">
          <w:rPr>
            <w:noProof/>
            <w:webHidden/>
          </w:rPr>
          <w:instrText xml:space="preserve"> PAGEREF _Toc148433344 \h </w:instrText>
        </w:r>
        <w:r w:rsidR="00D95779">
          <w:rPr>
            <w:noProof/>
            <w:webHidden/>
          </w:rPr>
        </w:r>
        <w:r w:rsidR="00D95779">
          <w:rPr>
            <w:noProof/>
            <w:webHidden/>
          </w:rPr>
          <w:fldChar w:fldCharType="separate"/>
        </w:r>
        <w:r w:rsidR="00881B8B">
          <w:rPr>
            <w:noProof/>
            <w:webHidden/>
          </w:rPr>
          <w:t>iii</w:t>
        </w:r>
        <w:r w:rsidR="00D95779">
          <w:rPr>
            <w:noProof/>
            <w:webHidden/>
          </w:rPr>
          <w:fldChar w:fldCharType="end"/>
        </w:r>
      </w:hyperlink>
    </w:p>
    <w:p w14:paraId="4EE0D28C" w14:textId="47DEB6FB" w:rsidR="00D95779" w:rsidRDefault="008E655E" w:rsidP="00881B8B">
      <w:pPr>
        <w:pStyle w:val="TOC3"/>
        <w:rPr>
          <w:rFonts w:eastAsiaTheme="minorEastAsia"/>
          <w:kern w:val="2"/>
          <w:lang w:eastAsia="en-AU"/>
          <w14:ligatures w14:val="standardContextual"/>
        </w:rPr>
      </w:pPr>
      <w:hyperlink w:anchor="_Toc148433345" w:history="1">
        <w:r w:rsidR="00D95779" w:rsidRPr="007C75CF">
          <w:rPr>
            <w:rStyle w:val="Hyperlink"/>
          </w:rPr>
          <w:t>Our role in the commercial passenger vehicle industry</w:t>
        </w:r>
        <w:r w:rsidR="00D95779">
          <w:rPr>
            <w:webHidden/>
          </w:rPr>
          <w:tab/>
        </w:r>
        <w:r w:rsidR="00D95779">
          <w:rPr>
            <w:webHidden/>
          </w:rPr>
          <w:fldChar w:fldCharType="begin"/>
        </w:r>
        <w:r w:rsidR="00D95779">
          <w:rPr>
            <w:webHidden/>
          </w:rPr>
          <w:instrText xml:space="preserve"> PAGEREF _Toc148433345 \h </w:instrText>
        </w:r>
        <w:r w:rsidR="00D95779">
          <w:rPr>
            <w:webHidden/>
          </w:rPr>
        </w:r>
        <w:r w:rsidR="00D95779">
          <w:rPr>
            <w:webHidden/>
          </w:rPr>
          <w:fldChar w:fldCharType="separate"/>
        </w:r>
        <w:r w:rsidR="00881B8B">
          <w:rPr>
            <w:webHidden/>
          </w:rPr>
          <w:t>iii</w:t>
        </w:r>
        <w:r w:rsidR="00D95779">
          <w:rPr>
            <w:webHidden/>
          </w:rPr>
          <w:fldChar w:fldCharType="end"/>
        </w:r>
      </w:hyperlink>
      <w:r w:rsidR="00D95779">
        <w:rPr>
          <w:rFonts w:eastAsiaTheme="minorEastAsia"/>
          <w:kern w:val="2"/>
          <w:lang w:eastAsia="en-AU"/>
          <w14:ligatures w14:val="standardContextual"/>
        </w:rPr>
        <w:t xml:space="preserve"> </w:t>
      </w:r>
    </w:p>
    <w:p w14:paraId="21FA2DD6" w14:textId="70F7779C" w:rsidR="00D95779" w:rsidRDefault="008E655E" w:rsidP="00881B8B">
      <w:pPr>
        <w:pStyle w:val="TOC3"/>
        <w:rPr>
          <w:rFonts w:eastAsiaTheme="minorEastAsia"/>
          <w:kern w:val="2"/>
          <w:lang w:eastAsia="en-AU"/>
          <w14:ligatures w14:val="standardContextual"/>
        </w:rPr>
      </w:pPr>
      <w:hyperlink w:anchor="_Toc148433347" w:history="1">
        <w:r w:rsidR="00D95779" w:rsidRPr="007C75CF">
          <w:rPr>
            <w:rStyle w:val="Hyperlink"/>
          </w:rPr>
          <w:t>Seeking views on our approach to the review</w:t>
        </w:r>
        <w:r w:rsidR="00D95779">
          <w:rPr>
            <w:webHidden/>
          </w:rPr>
          <w:tab/>
        </w:r>
        <w:r w:rsidR="00D95779">
          <w:rPr>
            <w:webHidden/>
          </w:rPr>
          <w:fldChar w:fldCharType="begin"/>
        </w:r>
        <w:r w:rsidR="00D95779">
          <w:rPr>
            <w:webHidden/>
          </w:rPr>
          <w:instrText xml:space="preserve"> PAGEREF _Toc148433347 \h </w:instrText>
        </w:r>
        <w:r w:rsidR="00D95779">
          <w:rPr>
            <w:webHidden/>
          </w:rPr>
        </w:r>
        <w:r w:rsidR="00D95779">
          <w:rPr>
            <w:webHidden/>
          </w:rPr>
          <w:fldChar w:fldCharType="separate"/>
        </w:r>
        <w:r w:rsidR="00881B8B">
          <w:rPr>
            <w:webHidden/>
          </w:rPr>
          <w:t>iv</w:t>
        </w:r>
        <w:r w:rsidR="00D95779">
          <w:rPr>
            <w:webHidden/>
          </w:rPr>
          <w:fldChar w:fldCharType="end"/>
        </w:r>
      </w:hyperlink>
    </w:p>
    <w:p w14:paraId="33CBF60E" w14:textId="785AA060" w:rsidR="00D95779" w:rsidRDefault="008E655E" w:rsidP="00881B8B">
      <w:pPr>
        <w:pStyle w:val="TOC3"/>
        <w:rPr>
          <w:rFonts w:eastAsiaTheme="minorEastAsia"/>
          <w:kern w:val="2"/>
          <w:lang w:eastAsia="en-AU"/>
          <w14:ligatures w14:val="standardContextual"/>
        </w:rPr>
      </w:pPr>
      <w:hyperlink w:anchor="_Toc148433350" w:history="1">
        <w:r w:rsidR="00D95779" w:rsidRPr="007C75CF">
          <w:rPr>
            <w:rStyle w:val="Hyperlink"/>
          </w:rPr>
          <w:t>Send us your feedback by 15 December 2023</w:t>
        </w:r>
        <w:r w:rsidR="00D95779">
          <w:rPr>
            <w:webHidden/>
          </w:rPr>
          <w:tab/>
        </w:r>
        <w:r w:rsidR="00D95779">
          <w:rPr>
            <w:webHidden/>
          </w:rPr>
          <w:fldChar w:fldCharType="begin"/>
        </w:r>
        <w:r w:rsidR="00D95779">
          <w:rPr>
            <w:webHidden/>
          </w:rPr>
          <w:instrText xml:space="preserve"> PAGEREF _Toc148433350 \h </w:instrText>
        </w:r>
        <w:r w:rsidR="00D95779">
          <w:rPr>
            <w:webHidden/>
          </w:rPr>
        </w:r>
        <w:r w:rsidR="00D95779">
          <w:rPr>
            <w:webHidden/>
          </w:rPr>
          <w:fldChar w:fldCharType="separate"/>
        </w:r>
        <w:r w:rsidR="00881B8B">
          <w:rPr>
            <w:webHidden/>
          </w:rPr>
          <w:t>vi</w:t>
        </w:r>
        <w:r w:rsidR="00D95779">
          <w:rPr>
            <w:webHidden/>
          </w:rPr>
          <w:fldChar w:fldCharType="end"/>
        </w:r>
      </w:hyperlink>
    </w:p>
    <w:p w14:paraId="6B9016ED" w14:textId="03386A2A" w:rsidR="00D95779" w:rsidRDefault="008E655E">
      <w:pPr>
        <w:pStyle w:val="TOC1"/>
        <w:rPr>
          <w:rFonts w:eastAsiaTheme="minorEastAsia"/>
          <w:b w:val="0"/>
          <w:noProof/>
          <w:kern w:val="2"/>
          <w:lang w:eastAsia="en-AU"/>
          <w14:ligatures w14:val="standardContextual"/>
        </w:rPr>
      </w:pPr>
      <w:hyperlink w:anchor="_Toc148433353" w:history="1">
        <w:r w:rsidR="00D95779" w:rsidRPr="007C75CF">
          <w:rPr>
            <w:rStyle w:val="Hyperlink"/>
            <w:noProof/>
          </w:rPr>
          <w:t>Introduction</w:t>
        </w:r>
        <w:r w:rsidR="00D95779">
          <w:rPr>
            <w:noProof/>
            <w:webHidden/>
          </w:rPr>
          <w:tab/>
        </w:r>
        <w:r w:rsidR="00D95779">
          <w:rPr>
            <w:noProof/>
            <w:webHidden/>
          </w:rPr>
          <w:fldChar w:fldCharType="begin"/>
        </w:r>
        <w:r w:rsidR="00D95779">
          <w:rPr>
            <w:noProof/>
            <w:webHidden/>
          </w:rPr>
          <w:instrText xml:space="preserve"> PAGEREF _Toc148433353 \h </w:instrText>
        </w:r>
        <w:r w:rsidR="00D95779">
          <w:rPr>
            <w:noProof/>
            <w:webHidden/>
          </w:rPr>
        </w:r>
        <w:r w:rsidR="00D95779">
          <w:rPr>
            <w:noProof/>
            <w:webHidden/>
          </w:rPr>
          <w:fldChar w:fldCharType="separate"/>
        </w:r>
        <w:r w:rsidR="00881B8B">
          <w:rPr>
            <w:noProof/>
            <w:webHidden/>
          </w:rPr>
          <w:t>1</w:t>
        </w:r>
        <w:r w:rsidR="00D95779">
          <w:rPr>
            <w:noProof/>
            <w:webHidden/>
          </w:rPr>
          <w:fldChar w:fldCharType="end"/>
        </w:r>
      </w:hyperlink>
    </w:p>
    <w:p w14:paraId="46BCC097" w14:textId="3D6AD1EE" w:rsidR="00D95779" w:rsidRDefault="008E655E">
      <w:pPr>
        <w:pStyle w:val="TOC1"/>
        <w:rPr>
          <w:rFonts w:eastAsiaTheme="minorEastAsia"/>
          <w:b w:val="0"/>
          <w:noProof/>
          <w:kern w:val="2"/>
          <w:lang w:eastAsia="en-AU"/>
          <w14:ligatures w14:val="standardContextual"/>
        </w:rPr>
      </w:pPr>
      <w:hyperlink w:anchor="_Toc148433357" w:history="1">
        <w:r w:rsidR="00D95779" w:rsidRPr="007C75CF">
          <w:rPr>
            <w:rStyle w:val="Hyperlink"/>
            <w:noProof/>
          </w:rPr>
          <w:t>We seek views on maximum unbooked taxi fares</w:t>
        </w:r>
        <w:r w:rsidR="00D95779">
          <w:rPr>
            <w:noProof/>
            <w:webHidden/>
          </w:rPr>
          <w:tab/>
        </w:r>
        <w:r w:rsidR="00D95779">
          <w:rPr>
            <w:noProof/>
            <w:webHidden/>
          </w:rPr>
          <w:fldChar w:fldCharType="begin"/>
        </w:r>
        <w:r w:rsidR="00D95779">
          <w:rPr>
            <w:noProof/>
            <w:webHidden/>
          </w:rPr>
          <w:instrText xml:space="preserve"> PAGEREF _Toc148433357 \h </w:instrText>
        </w:r>
        <w:r w:rsidR="00D95779">
          <w:rPr>
            <w:noProof/>
            <w:webHidden/>
          </w:rPr>
        </w:r>
        <w:r w:rsidR="00D95779">
          <w:rPr>
            <w:noProof/>
            <w:webHidden/>
          </w:rPr>
          <w:fldChar w:fldCharType="separate"/>
        </w:r>
        <w:r w:rsidR="00881B8B">
          <w:rPr>
            <w:noProof/>
            <w:webHidden/>
          </w:rPr>
          <w:t>3</w:t>
        </w:r>
        <w:r w:rsidR="00D95779">
          <w:rPr>
            <w:noProof/>
            <w:webHidden/>
          </w:rPr>
          <w:fldChar w:fldCharType="end"/>
        </w:r>
      </w:hyperlink>
    </w:p>
    <w:p w14:paraId="52352DE2" w14:textId="539DCD1C" w:rsidR="00D95779" w:rsidRDefault="008E655E" w:rsidP="00881B8B">
      <w:pPr>
        <w:pStyle w:val="TOC3"/>
        <w:rPr>
          <w:rFonts w:eastAsiaTheme="minorEastAsia"/>
          <w:kern w:val="2"/>
          <w:lang w:eastAsia="en-AU"/>
          <w14:ligatures w14:val="standardContextual"/>
        </w:rPr>
      </w:pPr>
      <w:hyperlink w:anchor="_Toc148433358" w:history="1">
        <w:r w:rsidR="00D95779" w:rsidRPr="007C75CF">
          <w:rPr>
            <w:rStyle w:val="Hyperlink"/>
          </w:rPr>
          <w:t>We set the maximum fares for unbooked taxi services</w:t>
        </w:r>
        <w:r w:rsidR="00D95779">
          <w:rPr>
            <w:webHidden/>
          </w:rPr>
          <w:tab/>
        </w:r>
        <w:r w:rsidR="00D95779">
          <w:rPr>
            <w:webHidden/>
          </w:rPr>
          <w:fldChar w:fldCharType="begin"/>
        </w:r>
        <w:r w:rsidR="00D95779">
          <w:rPr>
            <w:webHidden/>
          </w:rPr>
          <w:instrText xml:space="preserve"> PAGEREF _Toc148433358 \h </w:instrText>
        </w:r>
        <w:r w:rsidR="00D95779">
          <w:rPr>
            <w:webHidden/>
          </w:rPr>
        </w:r>
        <w:r w:rsidR="00D95779">
          <w:rPr>
            <w:webHidden/>
          </w:rPr>
          <w:fldChar w:fldCharType="separate"/>
        </w:r>
        <w:r w:rsidR="00881B8B">
          <w:rPr>
            <w:webHidden/>
          </w:rPr>
          <w:t>3</w:t>
        </w:r>
        <w:r w:rsidR="00D95779">
          <w:rPr>
            <w:webHidden/>
          </w:rPr>
          <w:fldChar w:fldCharType="end"/>
        </w:r>
      </w:hyperlink>
    </w:p>
    <w:p w14:paraId="49BA5154" w14:textId="0502A3B9" w:rsidR="00D95779" w:rsidRDefault="008E655E" w:rsidP="00881B8B">
      <w:pPr>
        <w:pStyle w:val="TOC3"/>
        <w:rPr>
          <w:rFonts w:eastAsiaTheme="minorEastAsia"/>
          <w:kern w:val="2"/>
          <w:lang w:eastAsia="en-AU"/>
          <w14:ligatures w14:val="standardContextual"/>
        </w:rPr>
      </w:pPr>
      <w:hyperlink w:anchor="_Toc148433360" w:history="1">
        <w:r w:rsidR="00D95779" w:rsidRPr="007C75CF">
          <w:rPr>
            <w:rStyle w:val="Hyperlink"/>
          </w:rPr>
          <w:t>We seek views on our approach</w:t>
        </w:r>
        <w:r w:rsidR="00D95779">
          <w:rPr>
            <w:webHidden/>
          </w:rPr>
          <w:tab/>
        </w:r>
        <w:r w:rsidR="00D95779">
          <w:rPr>
            <w:webHidden/>
          </w:rPr>
          <w:fldChar w:fldCharType="begin"/>
        </w:r>
        <w:r w:rsidR="00D95779">
          <w:rPr>
            <w:webHidden/>
          </w:rPr>
          <w:instrText xml:space="preserve"> PAGEREF _Toc148433360 \h </w:instrText>
        </w:r>
        <w:r w:rsidR="00D95779">
          <w:rPr>
            <w:webHidden/>
          </w:rPr>
        </w:r>
        <w:r w:rsidR="00D95779">
          <w:rPr>
            <w:webHidden/>
          </w:rPr>
          <w:fldChar w:fldCharType="separate"/>
        </w:r>
        <w:r w:rsidR="00881B8B">
          <w:rPr>
            <w:webHidden/>
          </w:rPr>
          <w:t>4</w:t>
        </w:r>
        <w:r w:rsidR="00D95779">
          <w:rPr>
            <w:webHidden/>
          </w:rPr>
          <w:fldChar w:fldCharType="end"/>
        </w:r>
      </w:hyperlink>
    </w:p>
    <w:p w14:paraId="4A6B52CB" w14:textId="4138EE43" w:rsidR="00D95779" w:rsidRDefault="008E655E" w:rsidP="00881B8B">
      <w:pPr>
        <w:pStyle w:val="TOC3"/>
        <w:rPr>
          <w:rFonts w:eastAsiaTheme="minorEastAsia"/>
          <w:kern w:val="2"/>
          <w:lang w:eastAsia="en-AU"/>
          <w14:ligatures w14:val="standardContextual"/>
        </w:rPr>
      </w:pPr>
      <w:hyperlink w:anchor="_Toc148433363" w:history="1">
        <w:r w:rsidR="00D95779" w:rsidRPr="007C75CF">
          <w:rPr>
            <w:rStyle w:val="Hyperlink"/>
          </w:rPr>
          <w:t>We seek views on the current fare adjustment mechanism</w:t>
        </w:r>
        <w:r w:rsidR="00D95779">
          <w:rPr>
            <w:webHidden/>
          </w:rPr>
          <w:tab/>
        </w:r>
        <w:r w:rsidR="00D95779">
          <w:rPr>
            <w:webHidden/>
          </w:rPr>
          <w:fldChar w:fldCharType="begin"/>
        </w:r>
        <w:r w:rsidR="00D95779">
          <w:rPr>
            <w:webHidden/>
          </w:rPr>
          <w:instrText xml:space="preserve"> PAGEREF _Toc148433363 \h </w:instrText>
        </w:r>
        <w:r w:rsidR="00D95779">
          <w:rPr>
            <w:webHidden/>
          </w:rPr>
        </w:r>
        <w:r w:rsidR="00D95779">
          <w:rPr>
            <w:webHidden/>
          </w:rPr>
          <w:fldChar w:fldCharType="separate"/>
        </w:r>
        <w:r w:rsidR="00881B8B">
          <w:rPr>
            <w:webHidden/>
          </w:rPr>
          <w:t>7</w:t>
        </w:r>
        <w:r w:rsidR="00D95779">
          <w:rPr>
            <w:webHidden/>
          </w:rPr>
          <w:fldChar w:fldCharType="end"/>
        </w:r>
      </w:hyperlink>
    </w:p>
    <w:p w14:paraId="12540938" w14:textId="1559F280" w:rsidR="00D95779" w:rsidRDefault="008E655E" w:rsidP="00881B8B">
      <w:pPr>
        <w:pStyle w:val="TOC3"/>
        <w:rPr>
          <w:rFonts w:eastAsiaTheme="minorEastAsia"/>
          <w:kern w:val="2"/>
          <w:lang w:eastAsia="en-AU"/>
          <w14:ligatures w14:val="standardContextual"/>
        </w:rPr>
      </w:pPr>
      <w:hyperlink w:anchor="_Toc148433364" w:history="1">
        <w:r w:rsidR="00D95779" w:rsidRPr="007C75CF">
          <w:rPr>
            <w:rStyle w:val="Hyperlink"/>
          </w:rPr>
          <w:t>We are not proposing to change fare structures</w:t>
        </w:r>
        <w:r w:rsidR="00D95779">
          <w:rPr>
            <w:webHidden/>
          </w:rPr>
          <w:tab/>
        </w:r>
        <w:r w:rsidR="00D95779">
          <w:rPr>
            <w:webHidden/>
          </w:rPr>
          <w:fldChar w:fldCharType="begin"/>
        </w:r>
        <w:r w:rsidR="00D95779">
          <w:rPr>
            <w:webHidden/>
          </w:rPr>
          <w:instrText xml:space="preserve"> PAGEREF _Toc148433364 \h </w:instrText>
        </w:r>
        <w:r w:rsidR="00D95779">
          <w:rPr>
            <w:webHidden/>
          </w:rPr>
        </w:r>
        <w:r w:rsidR="00D95779">
          <w:rPr>
            <w:webHidden/>
          </w:rPr>
          <w:fldChar w:fldCharType="separate"/>
        </w:r>
        <w:r w:rsidR="00881B8B">
          <w:rPr>
            <w:webHidden/>
          </w:rPr>
          <w:t>8</w:t>
        </w:r>
        <w:r w:rsidR="00D95779">
          <w:rPr>
            <w:webHidden/>
          </w:rPr>
          <w:fldChar w:fldCharType="end"/>
        </w:r>
      </w:hyperlink>
    </w:p>
    <w:p w14:paraId="3CF26A28" w14:textId="438F30DE" w:rsidR="00D95779" w:rsidRDefault="008E655E">
      <w:pPr>
        <w:pStyle w:val="TOC1"/>
        <w:rPr>
          <w:rFonts w:eastAsiaTheme="minorEastAsia"/>
          <w:b w:val="0"/>
          <w:noProof/>
          <w:kern w:val="2"/>
          <w:lang w:eastAsia="en-AU"/>
          <w14:ligatures w14:val="standardContextual"/>
        </w:rPr>
      </w:pPr>
      <w:hyperlink w:anchor="_Toc148433365" w:history="1">
        <w:r w:rsidR="00D95779" w:rsidRPr="007C75CF">
          <w:rPr>
            <w:rStyle w:val="Hyperlink"/>
            <w:noProof/>
          </w:rPr>
          <w:t>We seek views on non-cash payment surcharges</w:t>
        </w:r>
        <w:r w:rsidR="00D95779">
          <w:rPr>
            <w:noProof/>
            <w:webHidden/>
          </w:rPr>
          <w:tab/>
        </w:r>
        <w:r w:rsidR="00D95779">
          <w:rPr>
            <w:noProof/>
            <w:webHidden/>
          </w:rPr>
          <w:fldChar w:fldCharType="begin"/>
        </w:r>
        <w:r w:rsidR="00D95779">
          <w:rPr>
            <w:noProof/>
            <w:webHidden/>
          </w:rPr>
          <w:instrText xml:space="preserve"> PAGEREF _Toc148433365 \h </w:instrText>
        </w:r>
        <w:r w:rsidR="00D95779">
          <w:rPr>
            <w:noProof/>
            <w:webHidden/>
          </w:rPr>
        </w:r>
        <w:r w:rsidR="00D95779">
          <w:rPr>
            <w:noProof/>
            <w:webHidden/>
          </w:rPr>
          <w:fldChar w:fldCharType="separate"/>
        </w:r>
        <w:r w:rsidR="00881B8B">
          <w:rPr>
            <w:noProof/>
            <w:webHidden/>
          </w:rPr>
          <w:t>9</w:t>
        </w:r>
        <w:r w:rsidR="00D95779">
          <w:rPr>
            <w:noProof/>
            <w:webHidden/>
          </w:rPr>
          <w:fldChar w:fldCharType="end"/>
        </w:r>
      </w:hyperlink>
    </w:p>
    <w:p w14:paraId="3ADF5EF1" w14:textId="5F5F3826" w:rsidR="00D95779" w:rsidRDefault="008E655E" w:rsidP="00881B8B">
      <w:pPr>
        <w:pStyle w:val="TOC3"/>
        <w:rPr>
          <w:rFonts w:eastAsiaTheme="minorEastAsia"/>
          <w:kern w:val="2"/>
          <w:lang w:eastAsia="en-AU"/>
          <w14:ligatures w14:val="standardContextual"/>
        </w:rPr>
      </w:pPr>
      <w:hyperlink w:anchor="_Toc148433366" w:history="1">
        <w:r w:rsidR="00D95779" w:rsidRPr="007C75CF">
          <w:rPr>
            <w:rStyle w:val="Hyperlink"/>
          </w:rPr>
          <w:t>We set the maximum non-cash payment surcharges for taxi services</w:t>
        </w:r>
        <w:r w:rsidR="00D95779">
          <w:rPr>
            <w:webHidden/>
          </w:rPr>
          <w:tab/>
        </w:r>
        <w:r w:rsidR="00D95779">
          <w:rPr>
            <w:webHidden/>
          </w:rPr>
          <w:fldChar w:fldCharType="begin"/>
        </w:r>
        <w:r w:rsidR="00D95779">
          <w:rPr>
            <w:webHidden/>
          </w:rPr>
          <w:instrText xml:space="preserve"> PAGEREF _Toc148433366 \h </w:instrText>
        </w:r>
        <w:r w:rsidR="00D95779">
          <w:rPr>
            <w:webHidden/>
          </w:rPr>
        </w:r>
        <w:r w:rsidR="00D95779">
          <w:rPr>
            <w:webHidden/>
          </w:rPr>
          <w:fldChar w:fldCharType="separate"/>
        </w:r>
        <w:r w:rsidR="00881B8B">
          <w:rPr>
            <w:webHidden/>
          </w:rPr>
          <w:t>9</w:t>
        </w:r>
        <w:r w:rsidR="00D95779">
          <w:rPr>
            <w:webHidden/>
          </w:rPr>
          <w:fldChar w:fldCharType="end"/>
        </w:r>
      </w:hyperlink>
    </w:p>
    <w:p w14:paraId="05BCA0C5" w14:textId="2B57E146" w:rsidR="00D95779" w:rsidRDefault="008E655E">
      <w:pPr>
        <w:pStyle w:val="TOC4"/>
        <w:rPr>
          <w:rFonts w:eastAsiaTheme="minorEastAsia"/>
          <w:kern w:val="2"/>
          <w:lang w:eastAsia="en-AU"/>
          <w14:ligatures w14:val="standardContextual"/>
        </w:rPr>
      </w:pPr>
      <w:hyperlink w:anchor="_Toc148433370" w:history="1">
        <w:r w:rsidR="00D95779" w:rsidRPr="007C75CF">
          <w:rPr>
            <w:rStyle w:val="Hyperlink"/>
          </w:rPr>
          <w:t>We seek views on our approach</w:t>
        </w:r>
        <w:r w:rsidR="00D95779">
          <w:rPr>
            <w:webHidden/>
          </w:rPr>
          <w:tab/>
        </w:r>
        <w:r w:rsidR="00D95779">
          <w:rPr>
            <w:webHidden/>
          </w:rPr>
          <w:fldChar w:fldCharType="begin"/>
        </w:r>
        <w:r w:rsidR="00D95779">
          <w:rPr>
            <w:webHidden/>
          </w:rPr>
          <w:instrText xml:space="preserve"> PAGEREF _Toc148433370 \h </w:instrText>
        </w:r>
        <w:r w:rsidR="00D95779">
          <w:rPr>
            <w:webHidden/>
          </w:rPr>
        </w:r>
        <w:r w:rsidR="00D95779">
          <w:rPr>
            <w:webHidden/>
          </w:rPr>
          <w:fldChar w:fldCharType="separate"/>
        </w:r>
        <w:r w:rsidR="00881B8B">
          <w:rPr>
            <w:webHidden/>
          </w:rPr>
          <w:t>11</w:t>
        </w:r>
        <w:r w:rsidR="00D95779">
          <w:rPr>
            <w:webHidden/>
          </w:rPr>
          <w:fldChar w:fldCharType="end"/>
        </w:r>
      </w:hyperlink>
    </w:p>
    <w:p w14:paraId="64621C82" w14:textId="11CD6944" w:rsidR="00D95779" w:rsidRDefault="008E655E">
      <w:pPr>
        <w:pStyle w:val="TOC1"/>
        <w:rPr>
          <w:rFonts w:eastAsiaTheme="minorEastAsia"/>
          <w:b w:val="0"/>
          <w:noProof/>
          <w:kern w:val="2"/>
          <w:lang w:eastAsia="en-AU"/>
          <w14:ligatures w14:val="standardContextual"/>
        </w:rPr>
      </w:pPr>
      <w:hyperlink w:anchor="_Toc148433373" w:history="1">
        <w:r w:rsidR="00D95779" w:rsidRPr="007C75CF">
          <w:rPr>
            <w:rStyle w:val="Hyperlink"/>
            <w:noProof/>
          </w:rPr>
          <w:t>Appendix A: Legislative framework</w:t>
        </w:r>
        <w:r w:rsidR="00D95779">
          <w:rPr>
            <w:noProof/>
            <w:webHidden/>
          </w:rPr>
          <w:tab/>
        </w:r>
        <w:r w:rsidR="00D95779">
          <w:rPr>
            <w:noProof/>
            <w:webHidden/>
          </w:rPr>
          <w:fldChar w:fldCharType="begin"/>
        </w:r>
        <w:r w:rsidR="00D95779">
          <w:rPr>
            <w:noProof/>
            <w:webHidden/>
          </w:rPr>
          <w:instrText xml:space="preserve"> PAGEREF _Toc148433373 \h </w:instrText>
        </w:r>
        <w:r w:rsidR="00D95779">
          <w:rPr>
            <w:noProof/>
            <w:webHidden/>
          </w:rPr>
        </w:r>
        <w:r w:rsidR="00D95779">
          <w:rPr>
            <w:noProof/>
            <w:webHidden/>
          </w:rPr>
          <w:fldChar w:fldCharType="separate"/>
        </w:r>
        <w:r w:rsidR="00881B8B">
          <w:rPr>
            <w:noProof/>
            <w:webHidden/>
          </w:rPr>
          <w:t>14</w:t>
        </w:r>
        <w:r w:rsidR="00D95779">
          <w:rPr>
            <w:noProof/>
            <w:webHidden/>
          </w:rPr>
          <w:fldChar w:fldCharType="end"/>
        </w:r>
      </w:hyperlink>
    </w:p>
    <w:p w14:paraId="70ABA06F" w14:textId="5FA0FB7D" w:rsidR="00D95779" w:rsidRPr="00881B8B" w:rsidRDefault="008E655E" w:rsidP="00881B8B">
      <w:pPr>
        <w:pStyle w:val="TOC2"/>
        <w:rPr>
          <w:rFonts w:eastAsiaTheme="minorEastAsia"/>
          <w:kern w:val="2"/>
          <w:lang w:eastAsia="en-AU"/>
          <w14:ligatures w14:val="standardContextual"/>
        </w:rPr>
      </w:pPr>
      <w:hyperlink w:anchor="_Toc148433377" w:history="1">
        <w:r w:rsidR="00D95779" w:rsidRPr="00881B8B">
          <w:rPr>
            <w:rStyle w:val="Hyperlink"/>
            <w:b/>
            <w:bCs/>
          </w:rPr>
          <w:t>Appendix B: Maximum unbooked taxi fares</w:t>
        </w:r>
        <w:r w:rsidR="00D95779" w:rsidRPr="00881B8B">
          <w:rPr>
            <w:webHidden/>
          </w:rPr>
          <w:tab/>
        </w:r>
        <w:r w:rsidR="00D95779" w:rsidRPr="00881B8B">
          <w:rPr>
            <w:b/>
            <w:bCs/>
            <w:webHidden/>
          </w:rPr>
          <w:fldChar w:fldCharType="begin"/>
        </w:r>
        <w:r w:rsidR="00D95779" w:rsidRPr="00881B8B">
          <w:rPr>
            <w:b/>
            <w:bCs/>
            <w:webHidden/>
          </w:rPr>
          <w:instrText xml:space="preserve"> PAGEREF _Toc148433377 \h </w:instrText>
        </w:r>
        <w:r w:rsidR="00D95779" w:rsidRPr="00881B8B">
          <w:rPr>
            <w:b/>
            <w:bCs/>
            <w:webHidden/>
          </w:rPr>
        </w:r>
        <w:r w:rsidR="00D95779" w:rsidRPr="00881B8B">
          <w:rPr>
            <w:b/>
            <w:bCs/>
            <w:webHidden/>
          </w:rPr>
          <w:fldChar w:fldCharType="separate"/>
        </w:r>
        <w:r w:rsidR="00881B8B" w:rsidRPr="00881B8B">
          <w:rPr>
            <w:b/>
            <w:bCs/>
            <w:webHidden/>
          </w:rPr>
          <w:t>18</w:t>
        </w:r>
        <w:r w:rsidR="00D95779" w:rsidRPr="00881B8B">
          <w:rPr>
            <w:b/>
            <w:bCs/>
            <w:webHidden/>
          </w:rPr>
          <w:fldChar w:fldCharType="end"/>
        </w:r>
      </w:hyperlink>
    </w:p>
    <w:p w14:paraId="0336A54F" w14:textId="36F22790" w:rsidR="00D95779" w:rsidRDefault="008E655E">
      <w:pPr>
        <w:pStyle w:val="TOC1"/>
        <w:rPr>
          <w:rFonts w:eastAsiaTheme="minorEastAsia"/>
          <w:b w:val="0"/>
          <w:noProof/>
          <w:kern w:val="2"/>
          <w:lang w:eastAsia="en-AU"/>
          <w14:ligatures w14:val="standardContextual"/>
        </w:rPr>
      </w:pPr>
      <w:hyperlink w:anchor="_Toc148433378" w:history="1">
        <w:r w:rsidR="00D95779" w:rsidRPr="007C75CF">
          <w:rPr>
            <w:rStyle w:val="Hyperlink"/>
            <w:noProof/>
          </w:rPr>
          <w:t>Appendix C: Taxi cost index</w:t>
        </w:r>
        <w:r w:rsidR="00D95779">
          <w:rPr>
            <w:noProof/>
            <w:webHidden/>
          </w:rPr>
          <w:tab/>
        </w:r>
        <w:r w:rsidR="00D95779">
          <w:rPr>
            <w:noProof/>
            <w:webHidden/>
          </w:rPr>
          <w:fldChar w:fldCharType="begin"/>
        </w:r>
        <w:r w:rsidR="00D95779">
          <w:rPr>
            <w:noProof/>
            <w:webHidden/>
          </w:rPr>
          <w:instrText xml:space="preserve"> PAGEREF _Toc148433378 \h </w:instrText>
        </w:r>
        <w:r w:rsidR="00D95779">
          <w:rPr>
            <w:noProof/>
            <w:webHidden/>
          </w:rPr>
        </w:r>
        <w:r w:rsidR="00D95779">
          <w:rPr>
            <w:noProof/>
            <w:webHidden/>
          </w:rPr>
          <w:fldChar w:fldCharType="separate"/>
        </w:r>
        <w:r w:rsidR="00881B8B">
          <w:rPr>
            <w:noProof/>
            <w:webHidden/>
          </w:rPr>
          <w:t>22</w:t>
        </w:r>
        <w:r w:rsidR="00D95779">
          <w:rPr>
            <w:noProof/>
            <w:webHidden/>
          </w:rPr>
          <w:fldChar w:fldCharType="end"/>
        </w:r>
      </w:hyperlink>
    </w:p>
    <w:p w14:paraId="22041CF8" w14:textId="393FCADC" w:rsidR="00D3670C" w:rsidRDefault="00782E55" w:rsidP="00D3670C">
      <w:r>
        <w:rPr>
          <w:color w:val="236192" w:themeColor="accent1"/>
        </w:rPr>
        <w:fldChar w:fldCharType="end"/>
      </w:r>
    </w:p>
    <w:p w14:paraId="12D82A2B" w14:textId="77777777" w:rsidR="003A30F3" w:rsidRDefault="003A30F3" w:rsidP="003A30F3"/>
    <w:p w14:paraId="09D65F75" w14:textId="77777777" w:rsidR="003A30F3" w:rsidRPr="003A30F3" w:rsidRDefault="003A30F3" w:rsidP="003A30F3">
      <w:pPr>
        <w:sectPr w:rsidR="003A30F3" w:rsidRPr="003A30F3" w:rsidSect="00A236AB">
          <w:footerReference w:type="default" r:id="rId17"/>
          <w:type w:val="continuous"/>
          <w:pgSz w:w="11906" w:h="16838" w:code="9"/>
          <w:pgMar w:top="1134" w:right="1558" w:bottom="1134" w:left="1134" w:header="709" w:footer="692" w:gutter="0"/>
          <w:pgNumType w:fmt="lowerRoman"/>
          <w:cols w:space="708"/>
          <w:docGrid w:linePitch="360"/>
        </w:sectPr>
      </w:pPr>
    </w:p>
    <w:p w14:paraId="0018C8F3" w14:textId="704729FA" w:rsidR="00710792" w:rsidRDefault="00332D99" w:rsidP="00710792">
      <w:pPr>
        <w:pStyle w:val="Heading1"/>
      </w:pPr>
      <w:bookmarkStart w:id="11" w:name="_Toc148433344"/>
      <w:r>
        <w:lastRenderedPageBreak/>
        <w:t>S</w:t>
      </w:r>
      <w:r w:rsidR="007603C5">
        <w:t>ummary</w:t>
      </w:r>
      <w:bookmarkEnd w:id="11"/>
    </w:p>
    <w:p w14:paraId="05A4DA1E" w14:textId="464442BB" w:rsidR="00E45C8A" w:rsidRDefault="00E45C8A" w:rsidP="00E45C8A">
      <w:r>
        <w:t>Taxis provide vital services to the community and are an important part of Victoria’s transportation system. For some people, t</w:t>
      </w:r>
      <w:r w:rsidR="00051F2A">
        <w:t>axis are</w:t>
      </w:r>
      <w:r>
        <w:t xml:space="preserve"> </w:t>
      </w:r>
      <w:r w:rsidR="00DF4DFB">
        <w:t>the</w:t>
      </w:r>
      <w:r w:rsidR="00D06C0A">
        <w:t>ir</w:t>
      </w:r>
      <w:r>
        <w:t xml:space="preserve"> primary means of </w:t>
      </w:r>
      <w:r w:rsidR="1864A7FA">
        <w:t>transportation</w:t>
      </w:r>
      <w:r w:rsidR="00D06C0A">
        <w:t xml:space="preserve">, </w:t>
      </w:r>
      <w:r w:rsidR="00987C39">
        <w:t xml:space="preserve">enabling them to </w:t>
      </w:r>
      <w:r>
        <w:t>participat</w:t>
      </w:r>
      <w:r w:rsidR="00987C39">
        <w:t>e</w:t>
      </w:r>
      <w:r>
        <w:t xml:space="preserve"> in the broader community</w:t>
      </w:r>
      <w:r w:rsidR="00987C39">
        <w:t xml:space="preserve"> and economy</w:t>
      </w:r>
      <w:r>
        <w:t xml:space="preserve">. </w:t>
      </w:r>
    </w:p>
    <w:p w14:paraId="205071CA" w14:textId="3735D7B4" w:rsidR="00E45C8A" w:rsidRDefault="00E25E84" w:rsidP="00E45C8A">
      <w:r>
        <w:t>The Essential Services Commission has</w:t>
      </w:r>
      <w:r w:rsidR="00E45C8A">
        <w:t xml:space="preserve"> a role in the price regulation of some aspects of taxi services. </w:t>
      </w:r>
      <w:r w:rsidR="0077206F">
        <w:t xml:space="preserve">In fulfilling our </w:t>
      </w:r>
      <w:r w:rsidR="00E45C8A">
        <w:t>role, our aim is to protect customers from paying too much, while ensuring taxi</w:t>
      </w:r>
      <w:r w:rsidR="00890581">
        <w:t xml:space="preserve">s remain </w:t>
      </w:r>
      <w:r w:rsidR="00AD6E14">
        <w:t>as a</w:t>
      </w:r>
      <w:r w:rsidR="00E45C8A">
        <w:t xml:space="preserve"> viable</w:t>
      </w:r>
      <w:r w:rsidR="008D7B5E">
        <w:t xml:space="preserve"> and accessible </w:t>
      </w:r>
      <w:r w:rsidR="000614F8">
        <w:t>option</w:t>
      </w:r>
      <w:r w:rsidR="00AD6E14">
        <w:t xml:space="preserve"> for t</w:t>
      </w:r>
      <w:r w:rsidR="008D7B5E">
        <w:t>hose who need it</w:t>
      </w:r>
      <w:r w:rsidR="00E45C8A">
        <w:t xml:space="preserve">.  </w:t>
      </w:r>
    </w:p>
    <w:p w14:paraId="164FBC23" w14:textId="10698C56" w:rsidR="00332D99" w:rsidRDefault="00655076" w:rsidP="00655076">
      <w:pPr>
        <w:pStyle w:val="Heading2"/>
      </w:pPr>
      <w:bookmarkStart w:id="12" w:name="_Toc148433345"/>
      <w:r>
        <w:t>Our role in the commercial passenger vehicle industry</w:t>
      </w:r>
      <w:bookmarkEnd w:id="12"/>
    </w:p>
    <w:p w14:paraId="69B8BBC7" w14:textId="017D2C7E" w:rsidR="003437B4" w:rsidRDefault="005D7C85" w:rsidP="003437B4">
      <w:r>
        <w:t>Our role is to</w:t>
      </w:r>
      <w:r w:rsidR="009C3ED4">
        <w:t xml:space="preserve"> </w:t>
      </w:r>
      <w:r>
        <w:t xml:space="preserve">make determinations that </w:t>
      </w:r>
      <w:r w:rsidR="003437B4">
        <w:t>set the:</w:t>
      </w:r>
    </w:p>
    <w:p w14:paraId="0D484D69" w14:textId="15E148B0" w:rsidR="009C3ED4" w:rsidRDefault="009C3ED4" w:rsidP="003437B4">
      <w:pPr>
        <w:pStyle w:val="ListBullet"/>
      </w:pPr>
      <w:r>
        <w:t xml:space="preserve">maximum fares for </w:t>
      </w:r>
      <w:r w:rsidRPr="00301DD7">
        <w:rPr>
          <w:i/>
          <w:iCs/>
        </w:rPr>
        <w:t xml:space="preserve">unbooked </w:t>
      </w:r>
      <w:r>
        <w:t xml:space="preserve">taxi services </w:t>
      </w:r>
      <w:r w:rsidR="00E525FD">
        <w:t xml:space="preserve">(unbooked taxi fares) </w:t>
      </w:r>
      <w:r>
        <w:t xml:space="preserve">that begin in Melbourne, Geelong, </w:t>
      </w:r>
      <w:proofErr w:type="gramStart"/>
      <w:r>
        <w:t>Bendigo</w:t>
      </w:r>
      <w:proofErr w:type="gramEnd"/>
      <w:r>
        <w:t xml:space="preserve"> and Ballarat </w:t>
      </w:r>
    </w:p>
    <w:p w14:paraId="3B255724" w14:textId="392404ED" w:rsidR="003437B4" w:rsidRDefault="003437B4">
      <w:pPr>
        <w:pStyle w:val="ListBullet"/>
      </w:pPr>
      <w:r>
        <w:t>maximum non-cash payment surcharge for all taxi services in Victoria (booked and unbooked)</w:t>
      </w:r>
      <w:r w:rsidR="00834A23">
        <w:t>.</w:t>
      </w:r>
      <w:r>
        <w:t xml:space="preserve"> </w:t>
      </w:r>
    </w:p>
    <w:p w14:paraId="57FCD880" w14:textId="77777777" w:rsidR="00E25E84" w:rsidRDefault="00E25E84" w:rsidP="00E25E84">
      <w:pPr>
        <w:pStyle w:val="Pull-out"/>
      </w:pPr>
      <w:r>
        <w:t xml:space="preserve">Taxis in Victoria are commercial passenger vehicles that can perform either booked or unbooked services. </w:t>
      </w:r>
    </w:p>
    <w:p w14:paraId="1A0A8BE1" w14:textId="77777777" w:rsidR="00E25E84" w:rsidRDefault="00E25E84" w:rsidP="00E25E84">
      <w:pPr>
        <w:pStyle w:val="Pull-out"/>
      </w:pPr>
      <w:r w:rsidRPr="00E25E84">
        <w:rPr>
          <w:b/>
          <w:bCs/>
        </w:rPr>
        <w:t>Booked taxi services</w:t>
      </w:r>
      <w:r>
        <w:t xml:space="preserve"> are trips that were made through a booking service provider, for example, via an app, over the phone or via a website. </w:t>
      </w:r>
    </w:p>
    <w:p w14:paraId="6627C6A5" w14:textId="664A65DA" w:rsidR="005A00EB" w:rsidRDefault="00E25E84" w:rsidP="00E25E84">
      <w:pPr>
        <w:pStyle w:val="Pull-out"/>
      </w:pPr>
      <w:r w:rsidRPr="00E25E84">
        <w:rPr>
          <w:b/>
          <w:bCs/>
        </w:rPr>
        <w:t>Unbooked taxi services</w:t>
      </w:r>
      <w:r>
        <w:t xml:space="preserve"> are all other trips, such as trips hailed from the street or at a designated taxi rank.</w:t>
      </w:r>
    </w:p>
    <w:p w14:paraId="228CD3ED" w14:textId="47A027E8" w:rsidR="003437B4" w:rsidRDefault="06B9E553" w:rsidP="003437B4">
      <w:r>
        <w:t>Legislation requires us to</w:t>
      </w:r>
      <w:r w:rsidR="003437B4">
        <w:t xml:space="preserve"> complete </w:t>
      </w:r>
      <w:r w:rsidR="00C166CF">
        <w:t xml:space="preserve">a </w:t>
      </w:r>
      <w:r w:rsidR="003437B4">
        <w:t>review</w:t>
      </w:r>
      <w:r w:rsidR="00C166CF">
        <w:t xml:space="preserve"> of these determinations within </w:t>
      </w:r>
      <w:r w:rsidR="003437B4">
        <w:t xml:space="preserve">two years </w:t>
      </w:r>
      <w:r w:rsidR="006D317B">
        <w:t xml:space="preserve">of them </w:t>
      </w:r>
      <w:r w:rsidR="00B878AC">
        <w:t xml:space="preserve">last </w:t>
      </w:r>
      <w:r w:rsidR="006D317B">
        <w:t>being</w:t>
      </w:r>
      <w:r w:rsidR="003437B4">
        <w:t xml:space="preserve"> made. </w:t>
      </w:r>
      <w:r w:rsidR="0040504B">
        <w:t>Therefore, w</w:t>
      </w:r>
      <w:r w:rsidR="003437B4">
        <w:t xml:space="preserve">e </w:t>
      </w:r>
      <w:r w:rsidR="0040504B">
        <w:t>must review</w:t>
      </w:r>
      <w:r w:rsidR="003C64A5">
        <w:t xml:space="preserve"> </w:t>
      </w:r>
      <w:r w:rsidR="006D317B">
        <w:t xml:space="preserve">the current determinations for maximum unbooked taxi fares and maximum non-cash payment surcharges </w:t>
      </w:r>
      <w:r w:rsidR="003C64A5">
        <w:t>by</w:t>
      </w:r>
      <w:r w:rsidR="003437B4">
        <w:t xml:space="preserve"> 31</w:t>
      </w:r>
      <w:r w:rsidR="00CB61A3">
        <w:t> </w:t>
      </w:r>
      <w:r w:rsidR="003437B4">
        <w:t>August</w:t>
      </w:r>
      <w:r w:rsidR="00CB61A3">
        <w:t> </w:t>
      </w:r>
      <w:r w:rsidR="003437B4">
        <w:t>202</w:t>
      </w:r>
      <w:r w:rsidR="00834A23">
        <w:t>4</w:t>
      </w:r>
      <w:r w:rsidR="003437B4">
        <w:t>.</w:t>
      </w:r>
      <w:r w:rsidR="00B20646">
        <w:rPr>
          <w:rStyle w:val="FootnoteReference"/>
        </w:rPr>
        <w:footnoteReference w:id="2"/>
      </w:r>
      <w:r w:rsidR="003437B4">
        <w:t xml:space="preserve"> </w:t>
      </w:r>
    </w:p>
    <w:p w14:paraId="60E7A569" w14:textId="5D1E1F51" w:rsidR="009A0555" w:rsidRDefault="000B19E9" w:rsidP="003437B4">
      <w:r>
        <w:t>In the past,</w:t>
      </w:r>
      <w:r w:rsidR="00EA503D">
        <w:t xml:space="preserve"> we </w:t>
      </w:r>
      <w:r w:rsidR="00B869E8">
        <w:t>conducted these reviews</w:t>
      </w:r>
      <w:r w:rsidR="00EA503D">
        <w:t xml:space="preserve"> </w:t>
      </w:r>
      <w:r w:rsidR="00F3340C">
        <w:t>separately</w:t>
      </w:r>
      <w:r>
        <w:t xml:space="preserve">. </w:t>
      </w:r>
      <w:r w:rsidR="00FD00A0">
        <w:t>As</w:t>
      </w:r>
      <w:r>
        <w:t xml:space="preserve"> the review timeframes now alig</w:t>
      </w:r>
      <w:r w:rsidR="007F5429">
        <w:t xml:space="preserve">n, we will </w:t>
      </w:r>
      <w:r w:rsidR="6F91D888">
        <w:t>undertake</w:t>
      </w:r>
      <w:r w:rsidR="007F5429">
        <w:t xml:space="preserve"> a review on both topics </w:t>
      </w:r>
      <w:r w:rsidR="55147987">
        <w:t>concurrently</w:t>
      </w:r>
      <w:r w:rsidR="007F5429">
        <w:t>.</w:t>
      </w:r>
      <w:r w:rsidR="00151D65">
        <w:t xml:space="preserve"> However, the determinations will remain separate.</w:t>
      </w:r>
    </w:p>
    <w:p w14:paraId="620373F4" w14:textId="49F236B6" w:rsidR="0038178E" w:rsidRDefault="00187111" w:rsidP="004F3E50">
      <w:pPr>
        <w:pStyle w:val="Heading3"/>
      </w:pPr>
      <w:bookmarkStart w:id="13" w:name="_Toc148433346"/>
      <w:r>
        <w:t>Consultation process</w:t>
      </w:r>
      <w:bookmarkEnd w:id="13"/>
    </w:p>
    <w:p w14:paraId="07200D2E" w14:textId="46450CA8" w:rsidR="005C4603" w:rsidRDefault="003644D6" w:rsidP="21CEB2AD">
      <w:r>
        <w:t xml:space="preserve">This </w:t>
      </w:r>
      <w:r w:rsidR="00723209">
        <w:t xml:space="preserve">consultation paper is </w:t>
      </w:r>
      <w:r>
        <w:t xml:space="preserve">the </w:t>
      </w:r>
      <w:r w:rsidR="00723209">
        <w:t xml:space="preserve">start of </w:t>
      </w:r>
      <w:r>
        <w:t xml:space="preserve">our </w:t>
      </w:r>
      <w:r w:rsidR="00723209">
        <w:t>review process</w:t>
      </w:r>
      <w:r w:rsidR="199BC2FB">
        <w:t xml:space="preserve">. </w:t>
      </w:r>
      <w:r w:rsidR="005C4603">
        <w:t>We are s</w:t>
      </w:r>
      <w:r w:rsidR="00723209">
        <w:t xml:space="preserve">eeking </w:t>
      </w:r>
      <w:r w:rsidR="055A6FC8">
        <w:t xml:space="preserve">stakeholders' </w:t>
      </w:r>
      <w:r w:rsidR="00723209">
        <w:t xml:space="preserve">views on our approach and </w:t>
      </w:r>
      <w:r w:rsidR="00924C76">
        <w:t xml:space="preserve">other matters relevant to our review of either or both </w:t>
      </w:r>
      <w:r w:rsidR="00386FC7">
        <w:t>topics.</w:t>
      </w:r>
      <w:r w:rsidR="009E1869">
        <w:t xml:space="preserve"> </w:t>
      </w:r>
    </w:p>
    <w:p w14:paraId="385E0420" w14:textId="77B9D60A" w:rsidR="00FA40CD" w:rsidRDefault="009E1869" w:rsidP="003437B4">
      <w:r>
        <w:lastRenderedPageBreak/>
        <w:t>Following this review process, we will make new determination</w:t>
      </w:r>
      <w:r w:rsidR="000B4E87">
        <w:t>s.</w:t>
      </w:r>
      <w:r>
        <w:t xml:space="preserve"> </w:t>
      </w:r>
      <w:r w:rsidR="000B4E87">
        <w:t xml:space="preserve">The determinations will increase, </w:t>
      </w:r>
      <w:r w:rsidR="00D12D9F">
        <w:t>decrease,</w:t>
      </w:r>
      <w:r w:rsidR="000B4E87">
        <w:t xml:space="preserve"> or maintain the maximum unbooked taxi fares and maximum surcharges based on review</w:t>
      </w:r>
      <w:r w:rsidR="53E5E346">
        <w:t xml:space="preserve"> findings</w:t>
      </w:r>
      <w:r w:rsidR="000B4E87">
        <w:t xml:space="preserve">. </w:t>
      </w:r>
    </w:p>
    <w:p w14:paraId="1C52F2CA" w14:textId="1FCEDC7A" w:rsidR="00BE131E" w:rsidRDefault="728D95DA" w:rsidP="00BE131E">
      <w:pPr>
        <w:pStyle w:val="Heading2"/>
      </w:pPr>
      <w:bookmarkStart w:id="14" w:name="_Toc148433347"/>
      <w:r>
        <w:t>Seeking</w:t>
      </w:r>
      <w:r w:rsidR="00BE131E">
        <w:t xml:space="preserve"> </w:t>
      </w:r>
      <w:r w:rsidR="00855C06">
        <w:t>views on our approach to</w:t>
      </w:r>
      <w:r w:rsidR="00D85ED8">
        <w:t xml:space="preserve"> the</w:t>
      </w:r>
      <w:r w:rsidR="00855C06">
        <w:t xml:space="preserve"> review</w:t>
      </w:r>
      <w:bookmarkEnd w:id="14"/>
    </w:p>
    <w:p w14:paraId="28EF35AE" w14:textId="46FA77E3" w:rsidR="00690B4B" w:rsidRDefault="00690B4B" w:rsidP="00690B4B">
      <w:r>
        <w:t xml:space="preserve">We are interested in stakeholder views on our </w:t>
      </w:r>
      <w:r w:rsidR="00926C94">
        <w:t xml:space="preserve">proposed </w:t>
      </w:r>
      <w:r>
        <w:t>approach</w:t>
      </w:r>
      <w:r w:rsidR="00926C94">
        <w:t>es</w:t>
      </w:r>
      <w:r>
        <w:t xml:space="preserve"> to setting the maximum unbooked taxi fares and non-cash payment surcharges. </w:t>
      </w:r>
    </w:p>
    <w:p w14:paraId="7BEB213C" w14:textId="47B50FCF" w:rsidR="00690B4B" w:rsidRDefault="00365008" w:rsidP="00690B4B">
      <w:r>
        <w:t>W</w:t>
      </w:r>
      <w:r w:rsidR="00690B4B">
        <w:t xml:space="preserve">e </w:t>
      </w:r>
      <w:r w:rsidR="002364E4">
        <w:t>propose</w:t>
      </w:r>
      <w:r w:rsidR="00690B4B">
        <w:t xml:space="preserve"> to </w:t>
      </w:r>
      <w:r w:rsidR="00C035F1">
        <w:t xml:space="preserve">draw on </w:t>
      </w:r>
      <w:r w:rsidR="00B50095">
        <w:t xml:space="preserve">data from our previous reviews and not </w:t>
      </w:r>
      <w:r w:rsidR="00F03B3D">
        <w:t xml:space="preserve">issue </w:t>
      </w:r>
      <w:r w:rsidR="00CB1628">
        <w:t xml:space="preserve">new </w:t>
      </w:r>
      <w:r w:rsidR="00F03B3D">
        <w:t xml:space="preserve">compulsory information </w:t>
      </w:r>
      <w:r w:rsidR="00473A60">
        <w:t xml:space="preserve">notices </w:t>
      </w:r>
      <w:r w:rsidR="00156CD9">
        <w:t>to collect data from</w:t>
      </w:r>
      <w:r w:rsidR="00F03B3D">
        <w:t xml:space="preserve"> industry par</w:t>
      </w:r>
      <w:r w:rsidR="00A004DF">
        <w:t>ticipants</w:t>
      </w:r>
      <w:r w:rsidR="003F6DC2">
        <w:t xml:space="preserve"> and Safe Transport Victoria</w:t>
      </w:r>
      <w:r w:rsidR="00A004DF">
        <w:t xml:space="preserve">. </w:t>
      </w:r>
      <w:r w:rsidR="00690B4B">
        <w:t xml:space="preserve">As we last </w:t>
      </w:r>
      <w:r w:rsidR="002D434C">
        <w:t xml:space="preserve">collected data </w:t>
      </w:r>
      <w:r w:rsidR="00690B4B">
        <w:t xml:space="preserve">on these topics in 2022, we do not consider that the benefits of updating some of our analysis </w:t>
      </w:r>
      <w:r w:rsidR="001A531A" w:rsidRPr="001A531A">
        <w:rPr>
          <w:i/>
          <w:iCs/>
        </w:rPr>
        <w:t xml:space="preserve">for this review </w:t>
      </w:r>
      <w:r w:rsidR="00C85096">
        <w:t xml:space="preserve">would </w:t>
      </w:r>
      <w:r w:rsidR="00690B4B">
        <w:t>be proportionate to the cost of collecting it.</w:t>
      </w:r>
      <w:r w:rsidR="00690B4B">
        <w:rPr>
          <w:rStyle w:val="FootnoteReference"/>
        </w:rPr>
        <w:footnoteReference w:id="3"/>
      </w:r>
      <w:r w:rsidR="00690B4B">
        <w:t xml:space="preserve"> </w:t>
      </w:r>
    </w:p>
    <w:p w14:paraId="751864A3" w14:textId="5B3E03C0" w:rsidR="00D821CA" w:rsidRDefault="00D821CA" w:rsidP="00D821CA">
      <w:pPr>
        <w:pStyle w:val="Heading3"/>
      </w:pPr>
      <w:bookmarkStart w:id="15" w:name="_Toc146635461"/>
      <w:bookmarkStart w:id="16" w:name="_Toc147745780"/>
      <w:bookmarkStart w:id="17" w:name="_Toc148433348"/>
      <w:r>
        <w:t xml:space="preserve">We will review unbooked taxi fares and update our taxi cost </w:t>
      </w:r>
      <w:proofErr w:type="gramStart"/>
      <w:r>
        <w:t>index</w:t>
      </w:r>
      <w:bookmarkEnd w:id="15"/>
      <w:bookmarkEnd w:id="16"/>
      <w:bookmarkEnd w:id="17"/>
      <w:proofErr w:type="gramEnd"/>
    </w:p>
    <w:p w14:paraId="5092C096" w14:textId="1487A429" w:rsidR="00187111" w:rsidRDefault="00D821CA" w:rsidP="00BE131E">
      <w:r>
        <w:t xml:space="preserve">In reviewing unbooked taxi fares, </w:t>
      </w:r>
      <w:r w:rsidR="00510C80">
        <w:t>o</w:t>
      </w:r>
      <w:r w:rsidR="00BF2DCE">
        <w:t xml:space="preserve">ur objectives </w:t>
      </w:r>
      <w:r w:rsidR="002D57AF">
        <w:t>include</w:t>
      </w:r>
      <w:r w:rsidR="008F1101">
        <w:t xml:space="preserve"> promoting the</w:t>
      </w:r>
      <w:r w:rsidR="00187111">
        <w:t>:</w:t>
      </w:r>
    </w:p>
    <w:p w14:paraId="62E9DD61" w14:textId="0C67286A" w:rsidR="00582A68" w:rsidRDefault="00BF2DCE" w:rsidP="00187111">
      <w:pPr>
        <w:pStyle w:val="ListBullet"/>
      </w:pPr>
      <w:r>
        <w:t>long-term interests of Victorian consumers</w:t>
      </w:r>
      <w:r w:rsidR="008F1101">
        <w:rPr>
          <w:rStyle w:val="FootnoteReference"/>
        </w:rPr>
        <w:footnoteReference w:id="4"/>
      </w:r>
      <w:r>
        <w:t xml:space="preserve"> </w:t>
      </w:r>
    </w:p>
    <w:p w14:paraId="6EC13669" w14:textId="58B2EAE3" w:rsidR="00BE131E" w:rsidRDefault="00BE131E" w:rsidP="000775DD">
      <w:pPr>
        <w:pStyle w:val="ListBullet"/>
      </w:pPr>
      <w:r>
        <w:t xml:space="preserve">efficient provision and use of unbooked </w:t>
      </w:r>
      <w:r w:rsidR="00BF2DCE">
        <w:t>commercial passenger vehicles</w:t>
      </w:r>
      <w:r>
        <w:t>.</w:t>
      </w:r>
      <w:r w:rsidR="00BF2DCE">
        <w:rPr>
          <w:rStyle w:val="FootnoteReference"/>
        </w:rPr>
        <w:footnoteReference w:id="5"/>
      </w:r>
      <w:r>
        <w:t xml:space="preserve"> </w:t>
      </w:r>
    </w:p>
    <w:p w14:paraId="3538E33C" w14:textId="145E177A" w:rsidR="00BE131E" w:rsidRDefault="00BE131E" w:rsidP="00BE131E">
      <w:r>
        <w:t xml:space="preserve">To promote these </w:t>
      </w:r>
      <w:r w:rsidR="002C112D">
        <w:t>objectives</w:t>
      </w:r>
      <w:r>
        <w:t xml:space="preserve">, we consider that maximum fares should not be set too </w:t>
      </w:r>
      <w:r w:rsidR="00680BA8">
        <w:t xml:space="preserve">high or too </w:t>
      </w:r>
      <w:r>
        <w:t>low</w:t>
      </w:r>
      <w:r w:rsidR="00680BA8">
        <w:t xml:space="preserve">. </w:t>
      </w:r>
      <w:r w:rsidR="00434510">
        <w:t>Fares that are too high may cause</w:t>
      </w:r>
      <w:r w:rsidR="008E6CC4">
        <w:t xml:space="preserve"> an</w:t>
      </w:r>
      <w:r w:rsidR="00434510">
        <w:t xml:space="preserve"> underutilisation and excess supply of taxis.</w:t>
      </w:r>
      <w:r w:rsidR="000370E8">
        <w:t xml:space="preserve"> Alternatively,</w:t>
      </w:r>
      <w:r w:rsidR="00434510">
        <w:t xml:space="preserve"> </w:t>
      </w:r>
      <w:r w:rsidR="000370E8">
        <w:t>fares that are too low</w:t>
      </w:r>
      <w:r>
        <w:t xml:space="preserve"> may lead to an undersupply of taxis</w:t>
      </w:r>
      <w:r w:rsidR="002A4606">
        <w:t>.</w:t>
      </w:r>
      <w:r w:rsidR="00AF4CA0" w:rsidDel="000370E8">
        <w:t xml:space="preserve"> </w:t>
      </w:r>
    </w:p>
    <w:p w14:paraId="627242F2" w14:textId="491C3E09" w:rsidR="00BE131E" w:rsidRDefault="004B6628" w:rsidP="00BE131E">
      <w:r>
        <w:t>In 2022</w:t>
      </w:r>
      <w:r w:rsidR="00D24E58">
        <w:t xml:space="preserve"> we</w:t>
      </w:r>
      <w:r w:rsidR="00BE131E">
        <w:t xml:space="preserve"> </w:t>
      </w:r>
      <w:r>
        <w:t xml:space="preserve">increased fares for the first time since 2013. </w:t>
      </w:r>
      <w:r w:rsidR="00BE131E">
        <w:t>We also introduced a</w:t>
      </w:r>
      <w:r w:rsidR="00133E53">
        <w:t xml:space="preserve"> mechanism to automatically adjust</w:t>
      </w:r>
      <w:r w:rsidR="00AE549A">
        <w:t xml:space="preserve"> fares</w:t>
      </w:r>
      <w:r w:rsidR="00BE131E">
        <w:t xml:space="preserve"> by changes in fuel and labour costs </w:t>
      </w:r>
      <w:r w:rsidR="004D6211">
        <w:t>in 2023.</w:t>
      </w:r>
    </w:p>
    <w:p w14:paraId="5174675A" w14:textId="3E896900" w:rsidR="00510C80" w:rsidRDefault="00510C80" w:rsidP="00BE131E">
      <w:r>
        <w:t xml:space="preserve">For this review, </w:t>
      </w:r>
      <w:r w:rsidR="7D00B4F9">
        <w:t>we intend</w:t>
      </w:r>
      <w:r>
        <w:t xml:space="preserve"> to engage with stakeholders on matters related to unbooked taxi services</w:t>
      </w:r>
      <w:r w:rsidR="003876D9">
        <w:t>, consider changes in the taxi market</w:t>
      </w:r>
      <w:r>
        <w:t xml:space="preserve"> and to </w:t>
      </w:r>
      <w:r w:rsidR="00A21276">
        <w:t>assess changes in the cost of operating a taxi using</w:t>
      </w:r>
      <w:r>
        <w:t xml:space="preserve"> our taxi cost </w:t>
      </w:r>
      <w:r w:rsidR="00A21276">
        <w:t>index.</w:t>
      </w:r>
    </w:p>
    <w:p w14:paraId="7A190D28" w14:textId="58662A42" w:rsidR="0029021B" w:rsidRDefault="001E314A" w:rsidP="0029021B">
      <w:r>
        <w:t>Our</w:t>
      </w:r>
      <w:r w:rsidR="0029021B">
        <w:t xml:space="preserve"> approach to reviewing and setting maximum unbooked taxi fares is set out in </w:t>
      </w:r>
      <w:r w:rsidR="00B95EF0">
        <w:t>c</w:t>
      </w:r>
      <w:r w:rsidR="0029021B">
        <w:t>hapter 2</w:t>
      </w:r>
      <w:r w:rsidR="00B95EF0">
        <w:t>.</w:t>
      </w:r>
      <w:r w:rsidR="0029021B">
        <w:t xml:space="preserve"> </w:t>
      </w:r>
    </w:p>
    <w:p w14:paraId="55E5BF62" w14:textId="77777777" w:rsidR="00E83C49" w:rsidRDefault="00E83C49">
      <w:pPr>
        <w:spacing w:before="0" w:line="259" w:lineRule="auto"/>
        <w:rPr>
          <w:b/>
          <w:bCs/>
        </w:rPr>
      </w:pPr>
      <w:r>
        <w:rPr>
          <w:b/>
          <w:bCs/>
        </w:rPr>
        <w:br w:type="page"/>
      </w:r>
    </w:p>
    <w:p w14:paraId="120D2E3B" w14:textId="03119DF7" w:rsidR="00477B91" w:rsidRDefault="00477B91" w:rsidP="00477B91">
      <w:pPr>
        <w:pStyle w:val="Pull-out"/>
      </w:pPr>
      <w:r w:rsidRPr="00E65029">
        <w:rPr>
          <w:b/>
          <w:bCs/>
        </w:rPr>
        <w:lastRenderedPageBreak/>
        <w:t xml:space="preserve">Questions for </w:t>
      </w:r>
      <w:r w:rsidRPr="00513DD8">
        <w:rPr>
          <w:b/>
          <w:bCs/>
        </w:rPr>
        <w:t xml:space="preserve">stakeholders </w:t>
      </w:r>
      <w:r w:rsidRPr="00EE5B14">
        <w:rPr>
          <w:b/>
          <w:bCs/>
        </w:rPr>
        <w:t>on unbooked taxi fare</w:t>
      </w:r>
      <w:r w:rsidR="0097700D">
        <w:rPr>
          <w:b/>
          <w:bCs/>
        </w:rPr>
        <w:t>s</w:t>
      </w:r>
      <w:r w:rsidRPr="00EE5B14">
        <w:rPr>
          <w:b/>
          <w:bCs/>
        </w:rPr>
        <w:t xml:space="preserve"> </w:t>
      </w:r>
    </w:p>
    <w:p w14:paraId="354302EC" w14:textId="5943FC8F" w:rsidR="00831360" w:rsidRPr="00C343F8" w:rsidRDefault="00831360" w:rsidP="009F4DE0">
      <w:pPr>
        <w:pStyle w:val="ListParagraph"/>
        <w:numPr>
          <w:ilvl w:val="2"/>
          <w:numId w:val="7"/>
        </w:num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482" w:right="198"/>
        <w:contextualSpacing w:val="0"/>
      </w:pPr>
      <w:r w:rsidRPr="00C343F8">
        <w:t>Is the cost index we developed during the 2022 review still appropriate?</w:t>
      </w:r>
    </w:p>
    <w:p w14:paraId="6B746B3F" w14:textId="2FA1F403" w:rsidR="00831360" w:rsidRPr="00FE7E85" w:rsidRDefault="00831360" w:rsidP="009F4DE0">
      <w:pPr>
        <w:pStyle w:val="ListParagraph"/>
        <w:numPr>
          <w:ilvl w:val="2"/>
          <w:numId w:val="7"/>
        </w:num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482" w:right="198"/>
        <w:contextualSpacing w:val="0"/>
      </w:pPr>
      <w:r w:rsidRPr="00C343F8">
        <w:t xml:space="preserve">We seek views on how the market </w:t>
      </w:r>
      <w:r w:rsidRPr="00FE7E85">
        <w:t xml:space="preserve">for </w:t>
      </w:r>
      <w:r w:rsidR="007762D5" w:rsidRPr="00B672A2">
        <w:t xml:space="preserve">unbooked </w:t>
      </w:r>
      <w:r w:rsidRPr="00B672A2">
        <w:t>taxi</w:t>
      </w:r>
      <w:r w:rsidRPr="00FE7E85">
        <w:t xml:space="preserve"> services has changed since our 2022 review:</w:t>
      </w:r>
    </w:p>
    <w:p w14:paraId="3A836E6C" w14:textId="56991BCB" w:rsidR="00BF78F8" w:rsidRDefault="00BF78F8" w:rsidP="009F4DE0">
      <w:pPr>
        <w:pStyle w:val="Pull-outListNumber2"/>
        <w:ind w:left="765"/>
      </w:pPr>
      <w:r w:rsidRPr="00FE7E85">
        <w:t xml:space="preserve">How has the demand for and supply of </w:t>
      </w:r>
      <w:r w:rsidR="007762D5" w:rsidRPr="00B672A2">
        <w:t xml:space="preserve">unbooked </w:t>
      </w:r>
      <w:r w:rsidRPr="00B672A2">
        <w:t>tax</w:t>
      </w:r>
      <w:r w:rsidRPr="00FE7E85">
        <w:t>i services</w:t>
      </w:r>
      <w:r>
        <w:t xml:space="preserve"> changed? </w:t>
      </w:r>
    </w:p>
    <w:p w14:paraId="5F3007B0" w14:textId="77777777" w:rsidR="00BF78F8" w:rsidRDefault="00BF78F8" w:rsidP="009F4DE0">
      <w:pPr>
        <w:pStyle w:val="Pull-outListNumber2"/>
        <w:ind w:left="765"/>
      </w:pPr>
      <w:r>
        <w:t xml:space="preserve">Does the use of unbooked taxi services continue to decline relative to booked services? </w:t>
      </w:r>
    </w:p>
    <w:p w14:paraId="50A3DEB3" w14:textId="22B9DD0F" w:rsidR="00BF78F8" w:rsidRDefault="00BF78F8" w:rsidP="009F4DE0">
      <w:pPr>
        <w:pStyle w:val="Pull-outListNumber2"/>
        <w:ind w:left="765"/>
      </w:pPr>
      <w:r>
        <w:t xml:space="preserve">Have there been any observable changes to service quality? </w:t>
      </w:r>
    </w:p>
    <w:p w14:paraId="443C6E13" w14:textId="17E0CA05" w:rsidR="00477B91" w:rsidRPr="00F61F81" w:rsidRDefault="00477B91" w:rsidP="00D6465B">
      <w:pPr>
        <w:pStyle w:val="Pull-outListNumber1"/>
        <w:ind w:left="555" w:hanging="357"/>
      </w:pPr>
      <w:r>
        <w:t>S</w:t>
      </w:r>
      <w:r w:rsidRPr="00F61F81">
        <w:t xml:space="preserve">hould </w:t>
      </w:r>
      <w:r w:rsidR="000C5618">
        <w:t>the fare adjustment mechanism</w:t>
      </w:r>
      <w:r w:rsidRPr="00F61F81">
        <w:t xml:space="preserve"> </w:t>
      </w:r>
      <w:r w:rsidR="19E3F84C">
        <w:t xml:space="preserve">encompass the entire </w:t>
      </w:r>
      <w:r w:rsidR="00156BB5">
        <w:t xml:space="preserve">cost </w:t>
      </w:r>
      <w:r w:rsidR="19E3F84C">
        <w:t>index or only fuel and labour?</w:t>
      </w:r>
      <w:r>
        <w:t xml:space="preserve"> </w:t>
      </w:r>
    </w:p>
    <w:p w14:paraId="260504F8" w14:textId="1567A012" w:rsidR="003437B4" w:rsidRDefault="00F27EA3" w:rsidP="00161341">
      <w:pPr>
        <w:pStyle w:val="Heading3"/>
      </w:pPr>
      <w:bookmarkStart w:id="18" w:name="_Toc146635462"/>
      <w:bookmarkStart w:id="19" w:name="_Toc147745781"/>
      <w:bookmarkStart w:id="20" w:name="_Toc148433349"/>
      <w:r>
        <w:t xml:space="preserve">We will review non-cash payment surcharges and update our benchmarking </w:t>
      </w:r>
      <w:proofErr w:type="gramStart"/>
      <w:r>
        <w:t>analysis</w:t>
      </w:r>
      <w:bookmarkEnd w:id="18"/>
      <w:bookmarkEnd w:id="19"/>
      <w:bookmarkEnd w:id="20"/>
      <w:proofErr w:type="gramEnd"/>
    </w:p>
    <w:p w14:paraId="299C7709" w14:textId="114825A9" w:rsidR="003437B4" w:rsidRDefault="003437B4" w:rsidP="003437B4">
      <w:r>
        <w:t xml:space="preserve">In reviewing and setting the maximum </w:t>
      </w:r>
      <w:r w:rsidR="00271891">
        <w:t xml:space="preserve">non-cash payment </w:t>
      </w:r>
      <w:r>
        <w:t>surcharge, our objective</w:t>
      </w:r>
      <w:r w:rsidR="003A5E23">
        <w:t>s</w:t>
      </w:r>
      <w:r>
        <w:t xml:space="preserve"> </w:t>
      </w:r>
      <w:r w:rsidR="003A5E23">
        <w:t>include</w:t>
      </w:r>
      <w:r>
        <w:t xml:space="preserve"> promot</w:t>
      </w:r>
      <w:r w:rsidR="003A5E23">
        <w:t>ing the long-term interest</w:t>
      </w:r>
      <w:r w:rsidR="00A4738E">
        <w:t>s</w:t>
      </w:r>
      <w:r w:rsidR="003A5E23">
        <w:t xml:space="preserve"> of Victorian consumers and</w:t>
      </w:r>
      <w:r>
        <w:t xml:space="preserve"> efficiency in the non-cash payment transaction industry.</w:t>
      </w:r>
      <w:r w:rsidR="00193D96">
        <w:rPr>
          <w:rStyle w:val="FootnoteReference"/>
        </w:rPr>
        <w:footnoteReference w:id="6"/>
      </w:r>
      <w:r>
        <w:t xml:space="preserve"> We must also ensure that </w:t>
      </w:r>
      <w:r w:rsidR="008D1816">
        <w:t>people and entities who facilitate</w:t>
      </w:r>
      <w:r w:rsidR="00B07BC6">
        <w:t xml:space="preserve"> </w:t>
      </w:r>
      <w:r>
        <w:t xml:space="preserve">non-cash payment transactions are able to recover the reasonable cost of accepting and processing </w:t>
      </w:r>
      <w:r w:rsidR="00D03AB1">
        <w:t xml:space="preserve">these </w:t>
      </w:r>
      <w:r>
        <w:t>transactions.</w:t>
      </w:r>
      <w:r w:rsidR="006D1F82">
        <w:rPr>
          <w:rStyle w:val="FootnoteReference"/>
        </w:rPr>
        <w:footnoteReference w:id="7"/>
      </w:r>
      <w:r>
        <w:t xml:space="preserve"> </w:t>
      </w:r>
    </w:p>
    <w:p w14:paraId="125846F8" w14:textId="0E60AF45" w:rsidR="0000648C" w:rsidRDefault="0000648C" w:rsidP="003437B4">
      <w:r w:rsidRPr="00CA485B">
        <w:t xml:space="preserve">We define </w:t>
      </w:r>
      <w:r w:rsidR="00CD5CBE">
        <w:t>‘</w:t>
      </w:r>
      <w:r w:rsidRPr="00CA485B">
        <w:t>reasonable cost</w:t>
      </w:r>
      <w:r w:rsidR="00D4260A">
        <w:t>’</w:t>
      </w:r>
      <w:r w:rsidRPr="00CA485B">
        <w:t xml:space="preserve"> to mean </w:t>
      </w:r>
      <w:r w:rsidR="000A4FDA">
        <w:t xml:space="preserve">the </w:t>
      </w:r>
      <w:r w:rsidRPr="00CA485B">
        <w:t>costs incurred in accepting and processing non-cash payment transactions, which are moderate, not excessive, and within the limits of what it would be rational or sensible to expect for the given level of service quality and reliability.</w:t>
      </w:r>
    </w:p>
    <w:p w14:paraId="728F5F0C" w14:textId="6337E279" w:rsidR="003437B4" w:rsidRDefault="003437B4" w:rsidP="003437B4">
      <w:r>
        <w:t>In our 2022 decision we set the maximum surcharge at:</w:t>
      </w:r>
    </w:p>
    <w:p w14:paraId="013E33D8" w14:textId="63573943" w:rsidR="003437B4" w:rsidRDefault="00B31A81" w:rsidP="003437B4">
      <w:pPr>
        <w:pStyle w:val="ListBullet"/>
      </w:pPr>
      <w:r>
        <w:t>4</w:t>
      </w:r>
      <w:r w:rsidR="00A5672D">
        <w:t> per cent</w:t>
      </w:r>
      <w:r w:rsidR="003437B4">
        <w:t xml:space="preserve"> (including GST) for most non-cash payment </w:t>
      </w:r>
      <w:proofErr w:type="gramStart"/>
      <w:r w:rsidR="003437B4">
        <w:t>methods</w:t>
      </w:r>
      <w:proofErr w:type="gramEnd"/>
      <w:r w:rsidR="003437B4">
        <w:t xml:space="preserve"> </w:t>
      </w:r>
    </w:p>
    <w:p w14:paraId="4A5788E9" w14:textId="44C48043" w:rsidR="003437B4" w:rsidRDefault="00B31A81" w:rsidP="003437B4">
      <w:pPr>
        <w:pStyle w:val="ListBullet"/>
      </w:pPr>
      <w:r>
        <w:t>6</w:t>
      </w:r>
      <w:r w:rsidR="00A5672D">
        <w:t> per cent</w:t>
      </w:r>
      <w:r w:rsidR="003437B4">
        <w:t xml:space="preserve"> (excluding GST) for commercial passenger vehicle specific instruments (like </w:t>
      </w:r>
      <w:proofErr w:type="spellStart"/>
      <w:r w:rsidR="003437B4">
        <w:t>Cabcharge</w:t>
      </w:r>
      <w:proofErr w:type="spellEnd"/>
      <w:r w:rsidR="003437B4">
        <w:t>).</w:t>
      </w:r>
    </w:p>
    <w:p w14:paraId="2D002705" w14:textId="644B38B7" w:rsidR="007E169C" w:rsidRDefault="00A633EB" w:rsidP="007E169C">
      <w:r>
        <w:t>O</w:t>
      </w:r>
      <w:r w:rsidR="007E169C">
        <w:t xml:space="preserve">ur starting position </w:t>
      </w:r>
      <w:r w:rsidR="00447336">
        <w:t xml:space="preserve">for this review </w:t>
      </w:r>
      <w:r w:rsidR="007E169C">
        <w:t>is that these surcharges continue to be at an appropriate level. However, we are interested in stakeholder views on whether th</w:t>
      </w:r>
      <w:r w:rsidR="006D3D20">
        <w:t xml:space="preserve">is </w:t>
      </w:r>
      <w:r w:rsidR="00DC1F0A">
        <w:t>is</w:t>
      </w:r>
      <w:r w:rsidR="006D3D20">
        <w:t xml:space="preserve"> the case, and if there have been any changes in the industry that we should consider.</w:t>
      </w:r>
      <w:r w:rsidR="007E169C">
        <w:t xml:space="preserve"> </w:t>
      </w:r>
    </w:p>
    <w:p w14:paraId="781198F2" w14:textId="473BA8E8" w:rsidR="00F468D9" w:rsidRDefault="00F468D9" w:rsidP="00F468D9">
      <w:r>
        <w:t xml:space="preserve">We will update </w:t>
      </w:r>
      <w:r w:rsidR="0D993D84">
        <w:t>the</w:t>
      </w:r>
      <w:r w:rsidR="00245224">
        <w:t xml:space="preserve"> </w:t>
      </w:r>
      <w:r w:rsidR="065A5DD4">
        <w:t>benchmarking</w:t>
      </w:r>
      <w:r>
        <w:t xml:space="preserve"> analysis, which compares the maximum surcharges to comparable credit and debit card transactions across the rest of the economy. </w:t>
      </w:r>
      <w:r w:rsidR="00BC2A71">
        <w:t xml:space="preserve">We are interested in </w:t>
      </w:r>
      <w:r w:rsidR="00BC2A71">
        <w:lastRenderedPageBreak/>
        <w:t xml:space="preserve">views on </w:t>
      </w:r>
      <w:r w:rsidR="093AB64D">
        <w:t xml:space="preserve">this </w:t>
      </w:r>
      <w:r w:rsidR="00BC2A71">
        <w:t>benchmarking approach</w:t>
      </w:r>
      <w:r w:rsidR="0018590D">
        <w:t xml:space="preserve"> and if there are any alternative approaches that we should consider.</w:t>
      </w:r>
    </w:p>
    <w:p w14:paraId="3F562684" w14:textId="469AF2AC" w:rsidR="00BB1220" w:rsidRDefault="00D4260A" w:rsidP="00BB1220">
      <w:r>
        <w:t>Chapter 3 outlines o</w:t>
      </w:r>
      <w:r w:rsidR="004335D6">
        <w:t>ur</w:t>
      </w:r>
      <w:r w:rsidR="00BB1220">
        <w:t xml:space="preserve"> approach to reviewing and setting maximum non-cash payment surcharges</w:t>
      </w:r>
      <w:r w:rsidR="004335D6">
        <w:t>.</w:t>
      </w:r>
      <w:r w:rsidR="00BB1220">
        <w:t xml:space="preserve"> </w:t>
      </w:r>
    </w:p>
    <w:p w14:paraId="321FBED6" w14:textId="593EEFEA" w:rsidR="00C24A6A" w:rsidRPr="00EE5B14" w:rsidRDefault="00C24A6A" w:rsidP="00EE5B14">
      <w:pPr>
        <w:pStyle w:val="Pull-out"/>
        <w:rPr>
          <w:b/>
          <w:bCs/>
        </w:rPr>
      </w:pPr>
      <w:r w:rsidRPr="00EE5B14">
        <w:rPr>
          <w:b/>
          <w:bCs/>
        </w:rPr>
        <w:t xml:space="preserve">Questions for stakeholders </w:t>
      </w:r>
      <w:r w:rsidR="00E07341" w:rsidRPr="00EE5B14">
        <w:rPr>
          <w:b/>
          <w:bCs/>
        </w:rPr>
        <w:t>on the non-cash payment surcharge</w:t>
      </w:r>
      <w:r w:rsidR="00E07341" w:rsidRPr="00EE5B14" w:rsidDel="00E07341">
        <w:rPr>
          <w:b/>
          <w:bCs/>
        </w:rPr>
        <w:t xml:space="preserve"> </w:t>
      </w:r>
    </w:p>
    <w:p w14:paraId="61C6AA74" w14:textId="0792068C" w:rsidR="00E07341" w:rsidRDefault="00E07341" w:rsidP="006F0F75">
      <w:pPr>
        <w:pStyle w:val="Pull-outListNumber1"/>
        <w:ind w:left="555" w:hanging="357"/>
      </w:pPr>
      <w:r w:rsidRPr="00DF4E8A">
        <w:t xml:space="preserve">The maximum non-cash payment surcharge </w:t>
      </w:r>
      <w:r w:rsidR="005C4475">
        <w:t>is currently</w:t>
      </w:r>
      <w:r w:rsidR="005C4475" w:rsidRPr="00DF4E8A">
        <w:t xml:space="preserve"> </w:t>
      </w:r>
      <w:r w:rsidRPr="00DF4E8A">
        <w:t>set at 4</w:t>
      </w:r>
      <w:r w:rsidR="00A5672D">
        <w:t> per cent</w:t>
      </w:r>
      <w:r w:rsidRPr="00DF4E8A">
        <w:t xml:space="preserve"> for most non-cash payment methods and 6</w:t>
      </w:r>
      <w:r w:rsidR="00A5672D">
        <w:t> per cent</w:t>
      </w:r>
      <w:r w:rsidRPr="00DF4E8A">
        <w:t xml:space="preserve"> for specific instruments. Do these represent the reasonable costs for providing non-cash payment options? </w:t>
      </w:r>
      <w:r w:rsidR="001F2345">
        <w:t>Please provide information to support your views on the current costs of processing non-cash payment transactions.</w:t>
      </w:r>
    </w:p>
    <w:p w14:paraId="1D8616B5" w14:textId="16FDC5FB" w:rsidR="00E07341" w:rsidRPr="00DF4E8A" w:rsidRDefault="00E07341" w:rsidP="006F0F75">
      <w:pPr>
        <w:pStyle w:val="Pull-outListNumber1"/>
        <w:ind w:left="555" w:hanging="357"/>
      </w:pPr>
      <w:r w:rsidRPr="00DF4E8A">
        <w:t>Have there been substantive changes in the industry</w:t>
      </w:r>
      <w:r>
        <w:t>, such as</w:t>
      </w:r>
      <w:r w:rsidR="00256F77">
        <w:t xml:space="preserve"> changes in demand </w:t>
      </w:r>
      <w:r w:rsidR="00007811">
        <w:t>for payment services,</w:t>
      </w:r>
      <w:r>
        <w:t xml:space="preserve"> new technologies, changes in terminal usage, or service providers entering or exiting the market,</w:t>
      </w:r>
      <w:r w:rsidRPr="00DF4E8A">
        <w:t xml:space="preserve"> since our 2022 review? </w:t>
      </w:r>
      <w:r w:rsidR="006D0A50" w:rsidRPr="00DF4E8A">
        <w:t>If so, what are these</w:t>
      </w:r>
      <w:r w:rsidR="006D0A50">
        <w:t xml:space="preserve"> changes and how have they impacted the industry in a way that </w:t>
      </w:r>
      <w:r w:rsidR="2E45A49B">
        <w:t xml:space="preserve">can </w:t>
      </w:r>
      <w:r w:rsidR="006D0A50">
        <w:t>inform our review</w:t>
      </w:r>
      <w:r w:rsidR="006D0A50" w:rsidRPr="00DF4E8A">
        <w:t>?</w:t>
      </w:r>
    </w:p>
    <w:p w14:paraId="51AC9B96" w14:textId="38379845" w:rsidR="00E07341" w:rsidRDefault="49906A81" w:rsidP="006F0F75">
      <w:pPr>
        <w:pStyle w:val="Pull-outListNumber1"/>
        <w:ind w:left="555" w:hanging="357"/>
      </w:pPr>
      <w:r>
        <w:t>What</w:t>
      </w:r>
      <w:r w:rsidR="00366C51">
        <w:t xml:space="preserve"> views</w:t>
      </w:r>
      <w:r>
        <w:t xml:space="preserve"> do </w:t>
      </w:r>
      <w:r w:rsidR="00E07341">
        <w:t xml:space="preserve">you </w:t>
      </w:r>
      <w:r w:rsidR="64603FEA">
        <w:t xml:space="preserve">have </w:t>
      </w:r>
      <w:r w:rsidR="74A07C22">
        <w:t>on</w:t>
      </w:r>
      <w:r w:rsidR="00E07341">
        <w:t xml:space="preserve"> our </w:t>
      </w:r>
      <w:r w:rsidR="00E07341" w:rsidRPr="00A8405C">
        <w:t xml:space="preserve">proposed approach of using benchmarking to assess </w:t>
      </w:r>
      <w:r w:rsidR="00E07341">
        <w:t xml:space="preserve">the reasonableness of the current </w:t>
      </w:r>
      <w:r w:rsidR="00E07341" w:rsidRPr="00A8405C">
        <w:t>maximum non-cash payment surcharges</w:t>
      </w:r>
      <w:r w:rsidR="00E07341">
        <w:t>? Have there been changes in terminal offerings that might affect the validity of our benchmarking analysis?</w:t>
      </w:r>
    </w:p>
    <w:p w14:paraId="65D9B9CF" w14:textId="77777777" w:rsidR="00E07341" w:rsidRPr="00392A26" w:rsidRDefault="00E07341" w:rsidP="006F0F75">
      <w:pPr>
        <w:pStyle w:val="Pull-outListNumber1"/>
        <w:ind w:left="555" w:hanging="357"/>
      </w:pPr>
      <w:r>
        <w:t>Are there any other benchmarks that we should consider for the review? Do you have any views on alternative approaches we could adopt?</w:t>
      </w:r>
    </w:p>
    <w:p w14:paraId="13EF1B35" w14:textId="77777777" w:rsidR="00D72675" w:rsidRDefault="00D72675" w:rsidP="00D72675">
      <w:pPr>
        <w:pStyle w:val="Heading2"/>
      </w:pPr>
      <w:bookmarkStart w:id="21" w:name="_Toc148433350"/>
      <w:r>
        <w:t>Send us your feedback by 15 December 2023</w:t>
      </w:r>
      <w:bookmarkEnd w:id="21"/>
    </w:p>
    <w:p w14:paraId="56F371DB" w14:textId="3B030C9D" w:rsidR="00D72675" w:rsidRDefault="00D72675" w:rsidP="00D72675">
      <w:r>
        <w:t>Table 1 provides an indicative timeline for our consultation</w:t>
      </w:r>
      <w:r w:rsidR="009115F8">
        <w:t>,</w:t>
      </w:r>
      <w:r>
        <w:t xml:space="preserve"> </w:t>
      </w:r>
      <w:r w:rsidR="009115F8">
        <w:t>to help stakeholders plan how to take part in this review.</w:t>
      </w:r>
    </w:p>
    <w:p w14:paraId="5463C1D6" w14:textId="77777777" w:rsidR="00D72675" w:rsidRDefault="00D72675" w:rsidP="004D6211">
      <w:pPr>
        <w:pStyle w:val="Figure-Table-BoxHeading"/>
        <w:ind w:left="0" w:firstLine="0"/>
      </w:pPr>
      <w:r>
        <w:t>Table 1</w:t>
      </w:r>
      <w:r>
        <w:tab/>
        <w:t>Indicative timelines</w:t>
      </w:r>
    </w:p>
    <w:tbl>
      <w:tblPr>
        <w:tblStyle w:val="TableGrid"/>
        <w:tblW w:w="0" w:type="auto"/>
        <w:tblLook w:val="04A0" w:firstRow="1" w:lastRow="0" w:firstColumn="1" w:lastColumn="0" w:noHBand="0" w:noVBand="1"/>
      </w:tblPr>
      <w:tblGrid>
        <w:gridCol w:w="4819"/>
        <w:gridCol w:w="4819"/>
      </w:tblGrid>
      <w:tr w:rsidR="00D72675" w14:paraId="47D0FF24" w14:textId="77777777">
        <w:trPr>
          <w:cnfStyle w:val="100000000000" w:firstRow="1" w:lastRow="0" w:firstColumn="0" w:lastColumn="0" w:oddVBand="0" w:evenVBand="0" w:oddHBand="0" w:evenHBand="0" w:firstRowFirstColumn="0" w:firstRowLastColumn="0" w:lastRowFirstColumn="0" w:lastRowLastColumn="0"/>
        </w:trPr>
        <w:tc>
          <w:tcPr>
            <w:tcW w:w="4819" w:type="dxa"/>
          </w:tcPr>
          <w:p w14:paraId="1210226F" w14:textId="77777777" w:rsidR="00D72675" w:rsidRDefault="00D72675">
            <w:pPr>
              <w:pStyle w:val="TableHeading"/>
            </w:pPr>
            <w:r>
              <w:t>Key milestone</w:t>
            </w:r>
          </w:p>
        </w:tc>
        <w:tc>
          <w:tcPr>
            <w:tcW w:w="4819" w:type="dxa"/>
          </w:tcPr>
          <w:p w14:paraId="1005C130" w14:textId="77777777" w:rsidR="00D72675" w:rsidRDefault="00D72675">
            <w:pPr>
              <w:pStyle w:val="TableHeading"/>
            </w:pPr>
            <w:r>
              <w:t>Indicative timeline</w:t>
            </w:r>
          </w:p>
        </w:tc>
      </w:tr>
      <w:tr w:rsidR="00D72675" w14:paraId="18977DAC" w14:textId="77777777">
        <w:trPr>
          <w:cnfStyle w:val="000000100000" w:firstRow="0" w:lastRow="0" w:firstColumn="0" w:lastColumn="0" w:oddVBand="0" w:evenVBand="0" w:oddHBand="1" w:evenHBand="0" w:firstRowFirstColumn="0" w:firstRowLastColumn="0" w:lastRowFirstColumn="0" w:lastRowLastColumn="0"/>
        </w:trPr>
        <w:tc>
          <w:tcPr>
            <w:tcW w:w="4819" w:type="dxa"/>
          </w:tcPr>
          <w:p w14:paraId="37D8E477" w14:textId="77777777" w:rsidR="00D72675" w:rsidRDefault="00D72675">
            <w:pPr>
              <w:pStyle w:val="TableBody"/>
            </w:pPr>
            <w:r>
              <w:t>Submissions on consultation paper close</w:t>
            </w:r>
          </w:p>
        </w:tc>
        <w:tc>
          <w:tcPr>
            <w:tcW w:w="4819" w:type="dxa"/>
          </w:tcPr>
          <w:p w14:paraId="16C181A6" w14:textId="77777777" w:rsidR="00D72675" w:rsidRDefault="00D72675">
            <w:pPr>
              <w:pStyle w:val="TableBody"/>
            </w:pPr>
            <w:r>
              <w:t>15 December 2023</w:t>
            </w:r>
          </w:p>
        </w:tc>
      </w:tr>
      <w:tr w:rsidR="00D72675" w14:paraId="2D5C9262" w14:textId="77777777">
        <w:trPr>
          <w:cnfStyle w:val="000000010000" w:firstRow="0" w:lastRow="0" w:firstColumn="0" w:lastColumn="0" w:oddVBand="0" w:evenVBand="0" w:oddHBand="0" w:evenHBand="1" w:firstRowFirstColumn="0" w:firstRowLastColumn="0" w:lastRowFirstColumn="0" w:lastRowLastColumn="0"/>
        </w:trPr>
        <w:tc>
          <w:tcPr>
            <w:tcW w:w="4819" w:type="dxa"/>
          </w:tcPr>
          <w:p w14:paraId="06BCE416" w14:textId="77777777" w:rsidR="00D72675" w:rsidRDefault="00D72675">
            <w:pPr>
              <w:pStyle w:val="TableBody"/>
            </w:pPr>
            <w:r>
              <w:t>Release draft decision</w:t>
            </w:r>
          </w:p>
        </w:tc>
        <w:tc>
          <w:tcPr>
            <w:tcW w:w="4819" w:type="dxa"/>
          </w:tcPr>
          <w:p w14:paraId="1786E71A" w14:textId="77777777" w:rsidR="00D72675" w:rsidRDefault="00D72675">
            <w:pPr>
              <w:pStyle w:val="TableBody"/>
            </w:pPr>
            <w:r>
              <w:t>May 2024</w:t>
            </w:r>
          </w:p>
        </w:tc>
      </w:tr>
      <w:tr w:rsidR="00D72675" w14:paraId="4818A658" w14:textId="77777777">
        <w:trPr>
          <w:cnfStyle w:val="000000100000" w:firstRow="0" w:lastRow="0" w:firstColumn="0" w:lastColumn="0" w:oddVBand="0" w:evenVBand="0" w:oddHBand="1" w:evenHBand="0" w:firstRowFirstColumn="0" w:firstRowLastColumn="0" w:lastRowFirstColumn="0" w:lastRowLastColumn="0"/>
        </w:trPr>
        <w:tc>
          <w:tcPr>
            <w:tcW w:w="4819" w:type="dxa"/>
          </w:tcPr>
          <w:p w14:paraId="53688D72" w14:textId="77777777" w:rsidR="00D72675" w:rsidRDefault="00D72675">
            <w:pPr>
              <w:pStyle w:val="TableBody"/>
            </w:pPr>
            <w:r>
              <w:t>Submissions on draft decision close</w:t>
            </w:r>
          </w:p>
        </w:tc>
        <w:tc>
          <w:tcPr>
            <w:tcW w:w="4819" w:type="dxa"/>
          </w:tcPr>
          <w:p w14:paraId="6D073211" w14:textId="709CFDBC" w:rsidR="00D72675" w:rsidRDefault="00D72675">
            <w:pPr>
              <w:pStyle w:val="TableBody"/>
            </w:pPr>
            <w:r>
              <w:t>June 2024</w:t>
            </w:r>
          </w:p>
        </w:tc>
      </w:tr>
      <w:tr w:rsidR="00D72675" w14:paraId="1792F1FF" w14:textId="77777777">
        <w:trPr>
          <w:cnfStyle w:val="000000010000" w:firstRow="0" w:lastRow="0" w:firstColumn="0" w:lastColumn="0" w:oddVBand="0" w:evenVBand="0" w:oddHBand="0" w:evenHBand="1" w:firstRowFirstColumn="0" w:firstRowLastColumn="0" w:lastRowFirstColumn="0" w:lastRowLastColumn="0"/>
        </w:trPr>
        <w:tc>
          <w:tcPr>
            <w:tcW w:w="4819" w:type="dxa"/>
          </w:tcPr>
          <w:p w14:paraId="74B254A8" w14:textId="77777777" w:rsidR="00D72675" w:rsidRDefault="00D72675">
            <w:pPr>
              <w:pStyle w:val="TableBody"/>
            </w:pPr>
            <w:r>
              <w:t>Release final decision</w:t>
            </w:r>
          </w:p>
        </w:tc>
        <w:tc>
          <w:tcPr>
            <w:tcW w:w="4819" w:type="dxa"/>
          </w:tcPr>
          <w:p w14:paraId="7866B74D" w14:textId="4676A77A" w:rsidR="00D72675" w:rsidRDefault="00A40F22">
            <w:pPr>
              <w:pStyle w:val="TableBody"/>
            </w:pPr>
            <w:r>
              <w:t xml:space="preserve">August </w:t>
            </w:r>
            <w:r w:rsidR="00D72675">
              <w:t>2024</w:t>
            </w:r>
          </w:p>
        </w:tc>
      </w:tr>
    </w:tbl>
    <w:p w14:paraId="7B5A8233" w14:textId="76F9B5E5" w:rsidR="00D72675" w:rsidRDefault="00D72675" w:rsidP="00D72675">
      <w:r>
        <w:t>Submissions on this consultation paper should be made by 5pm 15 December 2023. We may not be able to consider, or may not give the same weight to</w:t>
      </w:r>
      <w:r w:rsidR="1AD06AB9">
        <w:t>,</w:t>
      </w:r>
      <w:r>
        <w:t xml:space="preserve"> submissions received after this date.</w:t>
      </w:r>
    </w:p>
    <w:p w14:paraId="3F91E9CF" w14:textId="27FA1D4A" w:rsidR="00042C0F" w:rsidRDefault="00042C0F" w:rsidP="008C27F8">
      <w:pPr>
        <w:pStyle w:val="Heading3"/>
      </w:pPr>
      <w:bookmarkStart w:id="22" w:name="_Toc148433351"/>
      <w:r>
        <w:lastRenderedPageBreak/>
        <w:t>How to provide your feedback</w:t>
      </w:r>
      <w:bookmarkEnd w:id="22"/>
    </w:p>
    <w:p w14:paraId="5A41D211" w14:textId="56E04F66" w:rsidR="00D72675" w:rsidRPr="008456A6" w:rsidRDefault="00D72675" w:rsidP="00D72675">
      <w:pPr>
        <w:rPr>
          <w:b/>
        </w:rPr>
      </w:pPr>
      <w:r w:rsidRPr="008456A6">
        <w:rPr>
          <w:b/>
        </w:rPr>
        <w:t xml:space="preserve">To make a submission, please go to </w:t>
      </w:r>
      <w:r w:rsidR="004812E1" w:rsidRPr="008456A6">
        <w:rPr>
          <w:b/>
        </w:rPr>
        <w:t xml:space="preserve">the </w:t>
      </w:r>
      <w:r w:rsidRPr="008456A6">
        <w:rPr>
          <w:b/>
        </w:rPr>
        <w:t xml:space="preserve">Engage Victoria website </w:t>
      </w:r>
      <w:r w:rsidR="00922945">
        <w:rPr>
          <w:b/>
        </w:rPr>
        <w:t xml:space="preserve">at </w:t>
      </w:r>
      <w:hyperlink r:id="rId18" w:history="1">
        <w:r w:rsidR="00862D18" w:rsidRPr="0001158C">
          <w:rPr>
            <w:rStyle w:val="Hyperlink"/>
            <w:b/>
          </w:rPr>
          <w:t>www.engage.vic.gov.au/taxireview2024</w:t>
        </w:r>
      </w:hyperlink>
      <w:r w:rsidRPr="008456A6">
        <w:rPr>
          <w:b/>
        </w:rPr>
        <w:t xml:space="preserve">. If you have any issues in making a submission, please email us at </w:t>
      </w:r>
      <w:hyperlink r:id="rId19">
        <w:r w:rsidRPr="008456A6">
          <w:rPr>
            <w:rStyle w:val="Hyperlink"/>
            <w:b/>
            <w:bCs/>
          </w:rPr>
          <w:t>transport@esc.vic.gov.au</w:t>
        </w:r>
      </w:hyperlink>
      <w:r w:rsidRPr="008456A6">
        <w:rPr>
          <w:b/>
        </w:rPr>
        <w:t xml:space="preserve"> for assistance.</w:t>
      </w:r>
    </w:p>
    <w:p w14:paraId="2A24B39D" w14:textId="2FDA7151" w:rsidR="00D72675" w:rsidRDefault="00D72675" w:rsidP="00D72675">
      <w:r>
        <w:t xml:space="preserve">We will treat all submissions in line with our submissions policy. Submissions will be made available on our website, except for any information that is commercially sensitive or confidential. </w:t>
      </w:r>
      <w:r w:rsidRPr="00F74B66">
        <w:rPr>
          <w:b/>
        </w:rPr>
        <w:t>Submissions should clearly identify which information is sensitive or confidential</w:t>
      </w:r>
      <w:r>
        <w:t>. To assist us in publishing submissions on our website, we ask that you avoid including personal details in your submission (for example, email addresses or signatures).</w:t>
      </w:r>
    </w:p>
    <w:p w14:paraId="56CD3A6F" w14:textId="373C9550" w:rsidR="002A21D5" w:rsidRDefault="002A21D5" w:rsidP="00A633EB">
      <w:pPr>
        <w:pStyle w:val="Heading3"/>
      </w:pPr>
      <w:bookmarkStart w:id="23" w:name="_Toc148433352"/>
      <w:r>
        <w:t>Request for anonymity</w:t>
      </w:r>
      <w:bookmarkEnd w:id="23"/>
    </w:p>
    <w:p w14:paraId="5D0B54EA" w14:textId="77777777" w:rsidR="00D72675" w:rsidRDefault="00D72675" w:rsidP="00D72675">
      <w:r>
        <w:t xml:space="preserve">You may also request anonymity in your submission. This means we will not publish your name. This is different to an anonymous submission, where we do not know who the submitter is. We generally do not accept anonymous submissions. </w:t>
      </w:r>
    </w:p>
    <w:p w14:paraId="16C58EC5" w14:textId="77777777" w:rsidR="00D72675" w:rsidRPr="00481D2E" w:rsidRDefault="00D72675" w:rsidP="00D72675">
      <w:r>
        <w:t xml:space="preserve">Requesting confidentiality and/or anonymity may affect the weight of your submission. View more information at </w:t>
      </w:r>
      <w:hyperlink r:id="rId20" w:history="1">
        <w:r w:rsidRPr="00197180">
          <w:rPr>
            <w:rStyle w:val="Hyperlink"/>
          </w:rPr>
          <w:t>www.esc.vic.gov.au/submissions</w:t>
        </w:r>
      </w:hyperlink>
      <w:r>
        <w:t xml:space="preserve">. </w:t>
      </w:r>
    </w:p>
    <w:p w14:paraId="01DA4329" w14:textId="77777777" w:rsidR="008F7087" w:rsidRDefault="008F7087" w:rsidP="00B503C2"/>
    <w:p w14:paraId="2D4F2209" w14:textId="77777777" w:rsidR="00B503C2" w:rsidRDefault="00B503C2" w:rsidP="00B503C2">
      <w:pPr>
        <w:sectPr w:rsidR="00B503C2" w:rsidSect="008F7087">
          <w:footerReference w:type="default" r:id="rId21"/>
          <w:type w:val="continuous"/>
          <w:pgSz w:w="11906" w:h="16838" w:code="9"/>
          <w:pgMar w:top="1134" w:right="1134" w:bottom="1134" w:left="1134" w:header="709" w:footer="692" w:gutter="0"/>
          <w:pgNumType w:fmt="lowerRoman"/>
          <w:cols w:space="708"/>
          <w:docGrid w:linePitch="360"/>
        </w:sectPr>
      </w:pPr>
    </w:p>
    <w:p w14:paraId="64E557ED" w14:textId="5500D597" w:rsidR="00710792" w:rsidRDefault="00710792" w:rsidP="00710792">
      <w:pPr>
        <w:pStyle w:val="Heading1"/>
      </w:pPr>
      <w:bookmarkStart w:id="24" w:name="_Toc148433353"/>
      <w:r>
        <w:lastRenderedPageBreak/>
        <w:t>Introduction</w:t>
      </w:r>
      <w:bookmarkEnd w:id="24"/>
    </w:p>
    <w:p w14:paraId="4D6B14A9" w14:textId="69262BD8" w:rsidR="004855CE" w:rsidRDefault="00481D2E" w:rsidP="00725260">
      <w:bookmarkStart w:id="25" w:name="_Toc480988882"/>
      <w:bookmarkStart w:id="26" w:name="_Toc481138193"/>
      <w:bookmarkStart w:id="27" w:name="_Toc481138401"/>
      <w:r>
        <w:t>This consultation paper sets</w:t>
      </w:r>
      <w:r w:rsidR="00FF12B1">
        <w:t xml:space="preserve"> out</w:t>
      </w:r>
      <w:r>
        <w:t xml:space="preserve"> our proposed approach </w:t>
      </w:r>
      <w:r w:rsidR="000F0AA6">
        <w:t>to</w:t>
      </w:r>
      <w:r>
        <w:t xml:space="preserve"> </w:t>
      </w:r>
      <w:r w:rsidR="77D81CE4">
        <w:t>the</w:t>
      </w:r>
      <w:r w:rsidR="00A75FF4">
        <w:t xml:space="preserve"> </w:t>
      </w:r>
      <w:r w:rsidR="00145920">
        <w:t>review</w:t>
      </w:r>
      <w:r w:rsidR="00313160">
        <w:t>s</w:t>
      </w:r>
      <w:r w:rsidR="00145920">
        <w:t xml:space="preserve"> of </w:t>
      </w:r>
      <w:r>
        <w:t>unbooked taxi fares and non-cash payment surcharge</w:t>
      </w:r>
      <w:r w:rsidR="00145920">
        <w:t>s</w:t>
      </w:r>
      <w:r>
        <w:t xml:space="preserve">. We are seeking views from stakeholders on both </w:t>
      </w:r>
      <w:r w:rsidR="0072202A">
        <w:t>top</w:t>
      </w:r>
      <w:r w:rsidR="006654F3">
        <w:t>ic</w:t>
      </w:r>
      <w:r w:rsidR="00AE6250">
        <w:t>s</w:t>
      </w:r>
      <w:r>
        <w:t xml:space="preserve">. </w:t>
      </w:r>
    </w:p>
    <w:p w14:paraId="01C999C1" w14:textId="7818E15F" w:rsidR="00C95DD7" w:rsidRDefault="008E2F4D" w:rsidP="00725260">
      <w:r>
        <w:t>We</w:t>
      </w:r>
      <w:r w:rsidR="008D0A78">
        <w:t xml:space="preserve"> are required to review and set the maximum unbooked taxi </w:t>
      </w:r>
      <w:r w:rsidR="00A53C61">
        <w:t xml:space="preserve">fares and </w:t>
      </w:r>
      <w:r w:rsidR="00F05BCC">
        <w:t>non-cash payment surcharges</w:t>
      </w:r>
      <w:r>
        <w:t xml:space="preserve"> every two </w:t>
      </w:r>
      <w:r w:rsidRPr="00FE7E85">
        <w:t>years</w:t>
      </w:r>
      <w:r w:rsidR="00F05BCC" w:rsidRPr="00FE7E85">
        <w:t>.</w:t>
      </w:r>
      <w:r w:rsidR="00DB4062" w:rsidRPr="00FE7E85">
        <w:t xml:space="preserve"> </w:t>
      </w:r>
      <w:r w:rsidR="00DB4062" w:rsidRPr="00B672A2">
        <w:t xml:space="preserve">Our role is limited to setting maximum </w:t>
      </w:r>
      <w:r w:rsidR="31E51185" w:rsidRPr="00B672A2">
        <w:t>fare</w:t>
      </w:r>
      <w:r w:rsidR="00DB4062" w:rsidRPr="00B672A2">
        <w:t>s. We do not have an enforcement role.</w:t>
      </w:r>
      <w:r w:rsidR="00DB4062">
        <w:t xml:space="preserve"> </w:t>
      </w:r>
    </w:p>
    <w:p w14:paraId="4D3856DE" w14:textId="09D99F18" w:rsidR="00F05BCC" w:rsidRDefault="005A56CD" w:rsidP="00F05BCC">
      <w:pPr>
        <w:pStyle w:val="Heading3numbered"/>
      </w:pPr>
      <w:bookmarkStart w:id="28" w:name="_Toc146635465"/>
      <w:bookmarkStart w:id="29" w:name="_Toc147745784"/>
      <w:bookmarkStart w:id="30" w:name="_Toc148433354"/>
      <w:r>
        <w:t>M</w:t>
      </w:r>
      <w:r w:rsidR="00F05BCC">
        <w:t>aximum unbooked taxi fares</w:t>
      </w:r>
      <w:bookmarkEnd w:id="28"/>
      <w:bookmarkEnd w:id="29"/>
      <w:bookmarkEnd w:id="30"/>
    </w:p>
    <w:p w14:paraId="31B52787" w14:textId="097E14BA" w:rsidR="00C34310" w:rsidRDefault="00D862CF" w:rsidP="00725260">
      <w:r>
        <w:t>T</w:t>
      </w:r>
      <w:r w:rsidR="00C34310">
        <w:t>axis are commercial passenger vehicles that can perform either booked or unbooked services.</w:t>
      </w:r>
    </w:p>
    <w:p w14:paraId="2D2AB422" w14:textId="4C7678C9" w:rsidR="00E16564" w:rsidRDefault="00C34310" w:rsidP="00725260">
      <w:r>
        <w:t>Booked</w:t>
      </w:r>
      <w:r w:rsidR="0075339D">
        <w:t xml:space="preserve"> commercial passenger vehicle</w:t>
      </w:r>
      <w:r>
        <w:t xml:space="preserve"> services are trips made through a booking service provider, for example, via an app, over the phone or via a website.</w:t>
      </w:r>
      <w:r w:rsidR="004D6211">
        <w:t xml:space="preserve"> </w:t>
      </w:r>
    </w:p>
    <w:p w14:paraId="7CF5EEA9" w14:textId="662324A5" w:rsidR="00733FA9" w:rsidRDefault="23B1F931" w:rsidP="00725260">
      <w:r>
        <w:t>In contrast</w:t>
      </w:r>
      <w:r w:rsidR="005917B8">
        <w:t>,</w:t>
      </w:r>
      <w:r>
        <w:t xml:space="preserve"> </w:t>
      </w:r>
      <w:r w:rsidR="005917B8">
        <w:t>u</w:t>
      </w:r>
      <w:r w:rsidR="00C34310">
        <w:t xml:space="preserve">nbooked </w:t>
      </w:r>
      <w:r w:rsidR="00037C3C">
        <w:t>commercia</w:t>
      </w:r>
      <w:r w:rsidR="005917B8">
        <w:t>l</w:t>
      </w:r>
      <w:r w:rsidR="00037C3C">
        <w:t xml:space="preserve"> passenger vehicle</w:t>
      </w:r>
      <w:r w:rsidR="00C34310">
        <w:t xml:space="preserve"> services are all other trips, such as trips hailed from the street or at a designated taxi rank. </w:t>
      </w:r>
      <w:r w:rsidR="00037C3C">
        <w:t>In this paper, we refer to unbooked commercial pa</w:t>
      </w:r>
      <w:r w:rsidR="00E87B1E">
        <w:t xml:space="preserve">ssenger </w:t>
      </w:r>
      <w:r w:rsidR="005917B8">
        <w:t xml:space="preserve">vehicle services as ‘unbooked taxi </w:t>
      </w:r>
      <w:proofErr w:type="gramStart"/>
      <w:r w:rsidR="005917B8">
        <w:t>services’</w:t>
      </w:r>
      <w:proofErr w:type="gramEnd"/>
      <w:r w:rsidR="005917B8">
        <w:t>.</w:t>
      </w:r>
    </w:p>
    <w:p w14:paraId="7CEF062B" w14:textId="414D3975" w:rsidR="0071086F" w:rsidRDefault="00EC5633" w:rsidP="00725260">
      <w:r>
        <w:t xml:space="preserve">We set the maximum fares for unbooked trips that begin in the Metropolitan Melbourne or Urban and Large Regional Zones only. The urban zone refers to </w:t>
      </w:r>
      <w:r w:rsidR="00306103">
        <w:t xml:space="preserve">Dandenong, </w:t>
      </w:r>
      <w:proofErr w:type="gramStart"/>
      <w:r>
        <w:t>Franksto</w:t>
      </w:r>
      <w:r w:rsidR="006E1341">
        <w:t>n</w:t>
      </w:r>
      <w:proofErr w:type="gramEnd"/>
      <w:r w:rsidR="006E1341">
        <w:t xml:space="preserve"> and Mornington Peninsula. The large regional zone </w:t>
      </w:r>
      <w:r w:rsidR="00343902">
        <w:t>includes</w:t>
      </w:r>
      <w:r w:rsidR="006E1341">
        <w:t xml:space="preserve"> Ballarat, </w:t>
      </w:r>
      <w:proofErr w:type="gramStart"/>
      <w:r w:rsidR="006E1341">
        <w:t>Bendigo</w:t>
      </w:r>
      <w:proofErr w:type="gramEnd"/>
      <w:r w:rsidR="006E1341">
        <w:t xml:space="preserve"> and Geelong. </w:t>
      </w:r>
      <w:r w:rsidR="006F1CDD">
        <w:t>We</w:t>
      </w:r>
      <w:r w:rsidR="7B0FBDA6">
        <w:t xml:space="preserve"> do not set these boundaries and cannot review them.</w:t>
      </w:r>
      <w:r w:rsidR="00B4665C">
        <w:rPr>
          <w:rStyle w:val="FootnoteReference"/>
        </w:rPr>
        <w:footnoteReference w:id="8"/>
      </w:r>
      <w:r w:rsidR="7B0FBDA6">
        <w:t xml:space="preserve"> </w:t>
      </w:r>
    </w:p>
    <w:p w14:paraId="7AEAA6E1" w14:textId="1D74A3A0" w:rsidR="00533283" w:rsidRDefault="004136D7" w:rsidP="00725260">
      <w:r>
        <w:t xml:space="preserve">The fares of unbooked </w:t>
      </w:r>
      <w:r w:rsidR="00533283">
        <w:t xml:space="preserve">taxi trips that begin in other areas of Victoria are not regulated. </w:t>
      </w:r>
    </w:p>
    <w:p w14:paraId="66B030CF" w14:textId="536279B4" w:rsidR="006C6125" w:rsidRDefault="006C6125" w:rsidP="00725260">
      <w:r>
        <w:t xml:space="preserve">We refer to those that own and maintain taxis as taxi operators. Taxi operators may </w:t>
      </w:r>
      <w:r w:rsidR="00472DBE">
        <w:t>rent vehicles out to</w:t>
      </w:r>
      <w:r>
        <w:t xml:space="preserve"> taxi drivers or </w:t>
      </w:r>
      <w:r w:rsidR="00F2000C">
        <w:t>drive taxis themselves.</w:t>
      </w:r>
    </w:p>
    <w:p w14:paraId="4C17F9A9" w14:textId="05D09985" w:rsidR="003C6857" w:rsidRDefault="00A76E1A" w:rsidP="003C6857">
      <w:pPr>
        <w:pStyle w:val="Heading3numbered"/>
      </w:pPr>
      <w:bookmarkStart w:id="31" w:name="_Toc146635466"/>
      <w:bookmarkStart w:id="32" w:name="_Toc147745785"/>
      <w:bookmarkStart w:id="33" w:name="_Toc148433355"/>
      <w:r>
        <w:t>N</w:t>
      </w:r>
      <w:r w:rsidR="003C6857">
        <w:t>on-cash payment surcharges</w:t>
      </w:r>
      <w:bookmarkEnd w:id="31"/>
      <w:bookmarkEnd w:id="32"/>
      <w:bookmarkEnd w:id="33"/>
      <w:r w:rsidR="003C6857">
        <w:t xml:space="preserve"> </w:t>
      </w:r>
    </w:p>
    <w:p w14:paraId="13EAFD9D" w14:textId="37196A98" w:rsidR="00216C1F" w:rsidRDefault="005C6048" w:rsidP="00216C1F">
      <w:r>
        <w:t>Non-cash payment surcharges are fees charged to taxi passengers for paying by any method other than cash</w:t>
      </w:r>
      <w:r w:rsidR="0058259C">
        <w:t xml:space="preserve">. For example, the surcharge applies when a passenger pays via a credit or debit card, or when </w:t>
      </w:r>
      <w:r w:rsidR="00AF2FA3">
        <w:t xml:space="preserve">using a taxi specific payment </w:t>
      </w:r>
      <w:r w:rsidR="000A0123">
        <w:t xml:space="preserve">system </w:t>
      </w:r>
      <w:r w:rsidR="00A72393">
        <w:t xml:space="preserve">like </w:t>
      </w:r>
      <w:proofErr w:type="spellStart"/>
      <w:r w:rsidR="00A72393">
        <w:t>Cabcharge</w:t>
      </w:r>
      <w:proofErr w:type="spellEnd"/>
      <w:r w:rsidR="00A72393">
        <w:t xml:space="preserve">. The surcharge is added </w:t>
      </w:r>
      <w:r w:rsidR="2C34B121">
        <w:t>to</w:t>
      </w:r>
      <w:r w:rsidR="00A72393">
        <w:t xml:space="preserve"> the st</w:t>
      </w:r>
      <w:r w:rsidR="00540C21">
        <w:t xml:space="preserve">andard taxi fare. </w:t>
      </w:r>
    </w:p>
    <w:p w14:paraId="5A8358E9" w14:textId="0045F77D" w:rsidR="00540C21" w:rsidRDefault="00540C21" w:rsidP="00216C1F">
      <w:r>
        <w:t xml:space="preserve">We set the maximum non-cash payment </w:t>
      </w:r>
      <w:r w:rsidR="007915C4">
        <w:t xml:space="preserve">surcharge for all taxi trips (booked and unbooked) that begin anywhere in Victoria. </w:t>
      </w:r>
    </w:p>
    <w:p w14:paraId="765C255C" w14:textId="15B20282" w:rsidR="007915C4" w:rsidRPr="00216C1F" w:rsidRDefault="007915C4" w:rsidP="0031105F">
      <w:pPr>
        <w:pStyle w:val="Heading3numbered"/>
      </w:pPr>
      <w:bookmarkStart w:id="34" w:name="_Toc146635467"/>
      <w:bookmarkStart w:id="35" w:name="_Toc147745786"/>
      <w:bookmarkStart w:id="36" w:name="_Toc148433356"/>
      <w:r>
        <w:lastRenderedPageBreak/>
        <w:t xml:space="preserve">We are </w:t>
      </w:r>
      <w:r w:rsidR="00C61D8C">
        <w:t xml:space="preserve">covering both topics in a single review </w:t>
      </w:r>
      <w:proofErr w:type="gramStart"/>
      <w:r w:rsidR="00C61D8C">
        <w:t>process</w:t>
      </w:r>
      <w:bookmarkEnd w:id="34"/>
      <w:bookmarkEnd w:id="35"/>
      <w:bookmarkEnd w:id="36"/>
      <w:proofErr w:type="gramEnd"/>
    </w:p>
    <w:p w14:paraId="505BC5B0" w14:textId="77777777" w:rsidR="00E46BBA" w:rsidRDefault="00FF12B1" w:rsidP="007D1EEE">
      <w:r>
        <w:t>We must complete the reviews by no later</w:t>
      </w:r>
      <w:r w:rsidR="007E7A84">
        <w:t xml:space="preserve"> than</w:t>
      </w:r>
      <w:r>
        <w:t xml:space="preserve"> two years after a price determination was made. We previously determined maximum </w:t>
      </w:r>
      <w:r w:rsidR="00FF1C65">
        <w:t xml:space="preserve">unbooked taxi </w:t>
      </w:r>
      <w:r>
        <w:t xml:space="preserve">fares and </w:t>
      </w:r>
      <w:r w:rsidR="00FF1C65">
        <w:t xml:space="preserve">non-cash payment </w:t>
      </w:r>
      <w:r w:rsidR="006F1389">
        <w:t>sur</w:t>
      </w:r>
      <w:r>
        <w:t>charges on 31</w:t>
      </w:r>
      <w:r w:rsidR="00FF1C65">
        <w:t> </w:t>
      </w:r>
      <w:r>
        <w:t xml:space="preserve">August 2022. </w:t>
      </w:r>
    </w:p>
    <w:p w14:paraId="25D106CC" w14:textId="47B856FE" w:rsidR="00C37F18" w:rsidRDefault="00704E48" w:rsidP="007D1EEE">
      <w:r w:rsidRPr="00704E48">
        <w:t>In the past, we have undertaken each review separately.</w:t>
      </w:r>
      <w:r w:rsidR="00FE2011">
        <w:t xml:space="preserve"> </w:t>
      </w:r>
      <w:r w:rsidR="005F1299">
        <w:t xml:space="preserve">As the timing of the reviews </w:t>
      </w:r>
      <w:r w:rsidR="001350E9">
        <w:t xml:space="preserve">is </w:t>
      </w:r>
      <w:r w:rsidR="00FE2011">
        <w:t>aligned</w:t>
      </w:r>
      <w:r w:rsidR="005F1CD5">
        <w:t xml:space="preserve">, </w:t>
      </w:r>
      <w:r w:rsidR="005F1299">
        <w:t>w</w:t>
      </w:r>
      <w:r w:rsidR="00055131">
        <w:t>e</w:t>
      </w:r>
      <w:r w:rsidR="002018A0">
        <w:t xml:space="preserve"> </w:t>
      </w:r>
      <w:r w:rsidR="00FF1C65">
        <w:t xml:space="preserve">will </w:t>
      </w:r>
      <w:r w:rsidR="00FE2011">
        <w:t xml:space="preserve">consult on </w:t>
      </w:r>
      <w:r w:rsidR="002018A0">
        <w:t xml:space="preserve">the reviews </w:t>
      </w:r>
      <w:r w:rsidR="00A618F5">
        <w:t>in a single process</w:t>
      </w:r>
      <w:r w:rsidR="005F1299">
        <w:t>.</w:t>
      </w:r>
    </w:p>
    <w:p w14:paraId="187784B7" w14:textId="27666AAC" w:rsidR="00C37F18" w:rsidRDefault="005F1299" w:rsidP="007D1EEE">
      <w:r>
        <w:t xml:space="preserve">This means </w:t>
      </w:r>
      <w:r w:rsidR="00C1427D">
        <w:t xml:space="preserve">that </w:t>
      </w:r>
      <w:r w:rsidR="00A53643">
        <w:t xml:space="preserve">we are seeking </w:t>
      </w:r>
      <w:r w:rsidR="00EA244E">
        <w:t xml:space="preserve">views on both </w:t>
      </w:r>
      <w:r w:rsidR="00C36614">
        <w:t xml:space="preserve">maximum unbooked taxi fares and maximum non-cash payment surcharges </w:t>
      </w:r>
      <w:r w:rsidR="008C65AB">
        <w:t>at the same time</w:t>
      </w:r>
      <w:r w:rsidR="531AB221">
        <w:t>.</w:t>
      </w:r>
      <w:r w:rsidR="008C65AB">
        <w:t xml:space="preserve"> </w:t>
      </w:r>
      <w:r w:rsidR="37C53A50">
        <w:t>W</w:t>
      </w:r>
      <w:r w:rsidR="003B45DE">
        <w:t xml:space="preserve">e will </w:t>
      </w:r>
      <w:r w:rsidR="008137AF">
        <w:t xml:space="preserve">release one draft decision paper and one final decision </w:t>
      </w:r>
      <w:r w:rsidR="001B574E">
        <w:t>paper</w:t>
      </w:r>
      <w:r w:rsidR="004F426A">
        <w:t xml:space="preserve"> </w:t>
      </w:r>
      <w:r w:rsidR="008137AF">
        <w:t xml:space="preserve">covering both </w:t>
      </w:r>
      <w:r w:rsidR="00C36614">
        <w:t>review</w:t>
      </w:r>
      <w:r w:rsidR="008137AF">
        <w:t>s.</w:t>
      </w:r>
    </w:p>
    <w:p w14:paraId="4758809C" w14:textId="74507260" w:rsidR="00C37F18" w:rsidRDefault="00AB45FA" w:rsidP="007D1EEE">
      <w:r>
        <w:t>At the end of the review process, we will make two separate determinations.</w:t>
      </w:r>
    </w:p>
    <w:p w14:paraId="07714A3D" w14:textId="3FC9FD1E" w:rsidR="00844A75" w:rsidRDefault="00600F8B" w:rsidP="007D1EEE">
      <w:r>
        <w:t xml:space="preserve">We </w:t>
      </w:r>
      <w:r w:rsidR="00934E30">
        <w:t xml:space="preserve">consider that there are benefits to working in this way, as </w:t>
      </w:r>
      <w:r w:rsidR="004468E6">
        <w:t xml:space="preserve">broader trends and changes in the commercial passenger vehicle market will affect </w:t>
      </w:r>
      <w:r w:rsidR="00546BD7">
        <w:t xml:space="preserve">our review of </w:t>
      </w:r>
      <w:r w:rsidR="004468E6">
        <w:t xml:space="preserve">both </w:t>
      </w:r>
      <w:r w:rsidR="00546BD7">
        <w:t>topics</w:t>
      </w:r>
      <w:r w:rsidR="004468E6">
        <w:t>.</w:t>
      </w:r>
    </w:p>
    <w:p w14:paraId="2FBFBBF8" w14:textId="4950524A" w:rsidR="00844A75" w:rsidRDefault="004468E6" w:rsidP="007D1EEE">
      <w:r>
        <w:t>We</w:t>
      </w:r>
      <w:r w:rsidDel="00CA2825">
        <w:t xml:space="preserve"> </w:t>
      </w:r>
      <w:r w:rsidR="00600F8B">
        <w:t xml:space="preserve">hope </w:t>
      </w:r>
      <w:r w:rsidR="00CA2825">
        <w:t>to</w:t>
      </w:r>
      <w:r w:rsidR="00600F8B">
        <w:t xml:space="preserve"> reduce the workload for stakeholders</w:t>
      </w:r>
      <w:r w:rsidR="00DB2CF7">
        <w:t xml:space="preserve"> </w:t>
      </w:r>
      <w:r w:rsidR="00BB3AA4">
        <w:t>by</w:t>
      </w:r>
      <w:r w:rsidR="003F1211">
        <w:t xml:space="preserve"> simplify</w:t>
      </w:r>
      <w:r w:rsidR="009D3A95">
        <w:t>ing</w:t>
      </w:r>
      <w:r w:rsidR="003F1211">
        <w:t xml:space="preserve"> the process </w:t>
      </w:r>
      <w:r w:rsidR="00865158">
        <w:t xml:space="preserve">and </w:t>
      </w:r>
      <w:r w:rsidR="009D5ACF">
        <w:t xml:space="preserve">creating a single point of contact for </w:t>
      </w:r>
      <w:r w:rsidR="00BB3AA4">
        <w:t>stakeholders</w:t>
      </w:r>
      <w:r w:rsidR="00F457A5">
        <w:t xml:space="preserve"> to highlight their </w:t>
      </w:r>
      <w:r w:rsidR="001B574E">
        <w:t>views</w:t>
      </w:r>
      <w:r w:rsidR="1BC2C9BE">
        <w:t>,</w:t>
      </w:r>
      <w:r w:rsidR="001B574E">
        <w:t xml:space="preserve"> </w:t>
      </w:r>
      <w:r w:rsidR="3C829256">
        <w:t xml:space="preserve">or </w:t>
      </w:r>
      <w:r w:rsidR="001B574E">
        <w:t>concerns</w:t>
      </w:r>
      <w:r w:rsidR="3E03BAAA">
        <w:t>,</w:t>
      </w:r>
      <w:r w:rsidR="00F457A5">
        <w:t xml:space="preserve"> relating to our </w:t>
      </w:r>
      <w:r w:rsidR="1CE2F314">
        <w:t xml:space="preserve">taxi </w:t>
      </w:r>
      <w:r w:rsidR="00F457A5">
        <w:t>role</w:t>
      </w:r>
      <w:r w:rsidR="007A5295">
        <w:t>s</w:t>
      </w:r>
      <w:r w:rsidR="00F457A5">
        <w:t xml:space="preserve">. </w:t>
      </w:r>
    </w:p>
    <w:p w14:paraId="412D7393" w14:textId="77777777" w:rsidR="00E81B5C" w:rsidRDefault="00E81B5C" w:rsidP="0026261A">
      <w:pPr>
        <w:sectPr w:rsidR="00E81B5C" w:rsidSect="00EA4359">
          <w:headerReference w:type="default" r:id="rId22"/>
          <w:footerReference w:type="default" r:id="rId23"/>
          <w:pgSz w:w="11906" w:h="16838" w:code="9"/>
          <w:pgMar w:top="1134" w:right="1134" w:bottom="1134" w:left="1134" w:header="709" w:footer="692" w:gutter="0"/>
          <w:pgNumType w:start="1"/>
          <w:cols w:space="708"/>
          <w:docGrid w:linePitch="360"/>
        </w:sectPr>
      </w:pPr>
    </w:p>
    <w:p w14:paraId="1E90C43F" w14:textId="7B4B65F9" w:rsidR="00A672AE" w:rsidRDefault="002E2B7F" w:rsidP="00C47364">
      <w:pPr>
        <w:pStyle w:val="Heading1"/>
      </w:pPr>
      <w:bookmarkStart w:id="37" w:name="_Toc148433357"/>
      <w:bookmarkEnd w:id="25"/>
      <w:bookmarkEnd w:id="26"/>
      <w:bookmarkEnd w:id="27"/>
      <w:r>
        <w:lastRenderedPageBreak/>
        <w:t>We seek vie</w:t>
      </w:r>
      <w:r w:rsidR="001350E9">
        <w:t xml:space="preserve">ws </w:t>
      </w:r>
      <w:r w:rsidR="00BA57A5">
        <w:t xml:space="preserve">on </w:t>
      </w:r>
      <w:r w:rsidR="001350E9">
        <w:t>maximum u</w:t>
      </w:r>
      <w:r w:rsidR="002B595C">
        <w:t xml:space="preserve">nbooked taxi </w:t>
      </w:r>
      <w:proofErr w:type="gramStart"/>
      <w:r w:rsidR="002B595C">
        <w:t>fare</w:t>
      </w:r>
      <w:r w:rsidR="00635674">
        <w:t>s</w:t>
      </w:r>
      <w:bookmarkEnd w:id="37"/>
      <w:proofErr w:type="gramEnd"/>
    </w:p>
    <w:p w14:paraId="2E8816B3" w14:textId="735550B1" w:rsidR="0017602D" w:rsidRDefault="00BB1255" w:rsidP="0017602D">
      <w:pPr>
        <w:pStyle w:val="Heading2"/>
      </w:pPr>
      <w:bookmarkStart w:id="38" w:name="_Toc148433358"/>
      <w:r>
        <w:t xml:space="preserve">We set the </w:t>
      </w:r>
      <w:r w:rsidR="006D64DE">
        <w:t>maximum</w:t>
      </w:r>
      <w:r>
        <w:t xml:space="preserve"> </w:t>
      </w:r>
      <w:r w:rsidR="002D4841">
        <w:t xml:space="preserve">fares for </w:t>
      </w:r>
      <w:r>
        <w:t xml:space="preserve">unbooked taxi </w:t>
      </w:r>
      <w:proofErr w:type="gramStart"/>
      <w:r w:rsidR="002D4841">
        <w:t>services</w:t>
      </w:r>
      <w:bookmarkEnd w:id="38"/>
      <w:proofErr w:type="gramEnd"/>
    </w:p>
    <w:p w14:paraId="29757889" w14:textId="551F5469" w:rsidR="00BB1255" w:rsidRDefault="008468CD" w:rsidP="008468CD">
      <w:r>
        <w:t xml:space="preserve">Our role is to </w:t>
      </w:r>
      <w:r w:rsidR="004D7A28">
        <w:t xml:space="preserve">review and determine </w:t>
      </w:r>
      <w:r>
        <w:t>the maximum fares for unbooked taxi services</w:t>
      </w:r>
      <w:r w:rsidR="0014475E">
        <w:t xml:space="preserve"> that begin in</w:t>
      </w:r>
      <w:r w:rsidR="003253B6">
        <w:t xml:space="preserve"> the Melbourne Metropolitan or Urban and Large Regional Zones</w:t>
      </w:r>
      <w:r w:rsidR="000320D1">
        <w:t>.</w:t>
      </w:r>
    </w:p>
    <w:p w14:paraId="2624DAA3" w14:textId="6B27D3F3" w:rsidR="00BB1255" w:rsidRDefault="009E319B" w:rsidP="008468CD">
      <w:r>
        <w:t>In undertaking this role, our</w:t>
      </w:r>
      <w:r w:rsidR="008468CD">
        <w:t xml:space="preserve"> objectives </w:t>
      </w:r>
      <w:r>
        <w:t>include</w:t>
      </w:r>
      <w:r w:rsidR="00152C2D">
        <w:t xml:space="preserve"> </w:t>
      </w:r>
      <w:r w:rsidR="008468CD">
        <w:t>promot</w:t>
      </w:r>
      <w:r w:rsidR="00152C2D">
        <w:t>ing</w:t>
      </w:r>
      <w:r w:rsidR="006C7ADC">
        <w:t xml:space="preserve"> </w:t>
      </w:r>
      <w:r w:rsidR="00085554">
        <w:t xml:space="preserve">both </w:t>
      </w:r>
      <w:r w:rsidR="008468CD">
        <w:t>the long-term interests of Victorian consumers and the efficient provision and use of unbooked commercial passenger vehicle services.</w:t>
      </w:r>
      <w:r w:rsidR="008468CD">
        <w:rPr>
          <w:rStyle w:val="FootnoteReference"/>
        </w:rPr>
        <w:footnoteReference w:id="9"/>
      </w:r>
      <w:r w:rsidR="008468CD">
        <w:t xml:space="preserve"> </w:t>
      </w:r>
    </w:p>
    <w:p w14:paraId="5CD58119" w14:textId="7658E2D7" w:rsidR="00E8760E" w:rsidRDefault="00B60EC8" w:rsidP="00E8760E">
      <w:r>
        <w:t>M</w:t>
      </w:r>
      <w:r w:rsidR="00E8760E">
        <w:t xml:space="preserve">aximum fares should not be set too low or too high. If the maximum fares are too low, unbooked taxi service providers will not recover their efficient costs. </w:t>
      </w:r>
    </w:p>
    <w:p w14:paraId="22BFD260" w14:textId="3081E3E4" w:rsidR="00E8760E" w:rsidRDefault="00E8760E" w:rsidP="00E8760E">
      <w:r>
        <w:t xml:space="preserve">This could lead to </w:t>
      </w:r>
      <w:r w:rsidR="0081111E">
        <w:t xml:space="preserve">taxi </w:t>
      </w:r>
      <w:r>
        <w:t xml:space="preserve">operators leaving the market which could result in there not being enough taxis to meet demand. </w:t>
      </w:r>
      <w:r w:rsidR="00F84E1C">
        <w:t>If this happens,</w:t>
      </w:r>
      <w:r>
        <w:t xml:space="preserve"> people </w:t>
      </w:r>
      <w:r w:rsidR="00741875">
        <w:t xml:space="preserve">who </w:t>
      </w:r>
      <w:r>
        <w:t xml:space="preserve">rely on taxis to get around, such as the elderly </w:t>
      </w:r>
      <w:r w:rsidR="3611CCBB">
        <w:t>or</w:t>
      </w:r>
      <w:r>
        <w:t xml:space="preserve"> </w:t>
      </w:r>
      <w:r w:rsidR="3611CCBB">
        <w:t>those</w:t>
      </w:r>
      <w:r>
        <w:t xml:space="preserve"> with </w:t>
      </w:r>
      <w:r w:rsidR="06127CFE">
        <w:t>a</w:t>
      </w:r>
      <w:r>
        <w:t xml:space="preserve"> disability</w:t>
      </w:r>
      <w:r w:rsidR="00F84E1C">
        <w:t>,</w:t>
      </w:r>
      <w:r>
        <w:t xml:space="preserve"> may have difficulty getting a taxi from a rank.</w:t>
      </w:r>
    </w:p>
    <w:p w14:paraId="53C7AEA9" w14:textId="5A69C9CA" w:rsidR="007C10B5" w:rsidRDefault="007C10B5" w:rsidP="00E8760E">
      <w:r>
        <w:t>On the other hand, if maximum fares are set too high, and unbooked taxi operators charge the maximum amount, inform</w:t>
      </w:r>
      <w:r w:rsidR="00B954A0">
        <w:t xml:space="preserve">ed customers are likely to choose alternative </w:t>
      </w:r>
      <w:r w:rsidR="00323F71">
        <w:t>transportation options.</w:t>
      </w:r>
    </w:p>
    <w:p w14:paraId="6F7C8344" w14:textId="2EAA624F" w:rsidR="007C10B5" w:rsidRDefault="00601D93" w:rsidP="00E8760E">
      <w:r>
        <w:t>However, we note that many passengers</w:t>
      </w:r>
      <w:r w:rsidR="00B47296">
        <w:t xml:space="preserve"> rely </w:t>
      </w:r>
      <w:r w:rsidR="00692C74">
        <w:t xml:space="preserve">on taxis and may not have alternative options available. These customers would be left paying </w:t>
      </w:r>
      <w:r w:rsidR="000D494B">
        <w:t>excessive amounts</w:t>
      </w:r>
      <w:r w:rsidR="00692C74">
        <w:t xml:space="preserve"> for the service. </w:t>
      </w:r>
    </w:p>
    <w:p w14:paraId="44D4EE24" w14:textId="07F711B6" w:rsidR="008468CD" w:rsidRDefault="00FD24CF" w:rsidP="008468CD">
      <w:r>
        <w:t xml:space="preserve">Appendix A outlines the </w:t>
      </w:r>
      <w:r w:rsidR="008468CD">
        <w:t>legal framework for setting maximum fares for unbooked taxi services</w:t>
      </w:r>
      <w:r w:rsidR="008468CD" w:rsidRPr="005506F5">
        <w:t>.</w:t>
      </w:r>
    </w:p>
    <w:p w14:paraId="79B52CD6" w14:textId="02C88D7A" w:rsidR="008468CD" w:rsidRDefault="3B7BB7A1" w:rsidP="00601C7D">
      <w:pPr>
        <w:pStyle w:val="Heading3"/>
      </w:pPr>
      <w:bookmarkStart w:id="40" w:name="_Toc146635470"/>
      <w:bookmarkStart w:id="41" w:name="_Toc147745789"/>
      <w:bookmarkStart w:id="42" w:name="_Toc148433359"/>
      <w:r>
        <w:t>Outcomes from</w:t>
      </w:r>
      <w:r w:rsidR="002A46D2">
        <w:t xml:space="preserve"> our</w:t>
      </w:r>
      <w:r w:rsidR="008468CD">
        <w:t xml:space="preserve"> 2022 review of maximum unbooked taxi fares</w:t>
      </w:r>
      <w:bookmarkEnd w:id="40"/>
      <w:bookmarkEnd w:id="41"/>
      <w:bookmarkEnd w:id="42"/>
    </w:p>
    <w:p w14:paraId="36861729" w14:textId="1BF92106" w:rsidR="008468CD" w:rsidRDefault="008468CD" w:rsidP="008468CD">
      <w:r>
        <w:t xml:space="preserve">Our last review of maximum unbooked taxi fares was </w:t>
      </w:r>
      <w:r w:rsidR="003B22EF">
        <w:t xml:space="preserve">released </w:t>
      </w:r>
      <w:r>
        <w:t xml:space="preserve">in September 2022. </w:t>
      </w:r>
      <w:r w:rsidR="00F20E61">
        <w:t>O</w:t>
      </w:r>
      <w:r>
        <w:t>ur decision was to increase maximum fares by 11.2</w:t>
      </w:r>
      <w:r w:rsidR="00A5672D">
        <w:t> per cent</w:t>
      </w:r>
      <w:r>
        <w:t xml:space="preserve"> </w:t>
      </w:r>
      <w:r w:rsidR="00F63C04">
        <w:t xml:space="preserve">for trips that begin </w:t>
      </w:r>
      <w:r>
        <w:t xml:space="preserve">in the Melbourne Metropolitan </w:t>
      </w:r>
      <w:r w:rsidR="00F63C04">
        <w:t xml:space="preserve">or Urban </w:t>
      </w:r>
      <w:r>
        <w:t xml:space="preserve">and Large Regional Zones. </w:t>
      </w:r>
      <w:r w:rsidR="00840CCE">
        <w:t>We increased t</w:t>
      </w:r>
      <w:r>
        <w:t>he maximum high occupancy fee and charges by 12.2</w:t>
      </w:r>
      <w:r w:rsidR="00A5672D">
        <w:t> per cent</w:t>
      </w:r>
      <w:r>
        <w:t>.</w:t>
      </w:r>
      <w:r w:rsidR="007B6587">
        <w:rPr>
          <w:rStyle w:val="FootnoteReference"/>
        </w:rPr>
        <w:footnoteReference w:id="10"/>
      </w:r>
    </w:p>
    <w:p w14:paraId="0C9C0A86" w14:textId="7A735248" w:rsidR="00154FB0" w:rsidRDefault="008468CD" w:rsidP="008468CD">
      <w:r>
        <w:lastRenderedPageBreak/>
        <w:t xml:space="preserve">We also introduced a fare adjustment mechanism to account for changes in fuel and labour costs </w:t>
      </w:r>
      <w:r w:rsidR="00C146EF">
        <w:t xml:space="preserve">that may occur </w:t>
      </w:r>
      <w:r w:rsidR="005D15BB">
        <w:t xml:space="preserve">before our </w:t>
      </w:r>
      <w:r w:rsidR="00343C1D">
        <w:t>2024</w:t>
      </w:r>
      <w:r>
        <w:t xml:space="preserve"> fare review. </w:t>
      </w:r>
      <w:r w:rsidR="000D6270">
        <w:t>The fare adjustment mechanism</w:t>
      </w:r>
      <w:r w:rsidR="006654A5">
        <w:t xml:space="preserve"> resulted in unbooked taxi fares increas</w:t>
      </w:r>
      <w:r w:rsidR="00AD629F">
        <w:t>ing</w:t>
      </w:r>
      <w:r w:rsidR="006654A5">
        <w:t xml:space="preserve"> by 4.1</w:t>
      </w:r>
      <w:r w:rsidR="00A5672D">
        <w:t> per cent</w:t>
      </w:r>
      <w:r w:rsidR="006654A5">
        <w:t xml:space="preserve"> </w:t>
      </w:r>
      <w:r w:rsidR="5987149A">
        <w:t xml:space="preserve">effective </w:t>
      </w:r>
      <w:r w:rsidR="006654A5">
        <w:t>1</w:t>
      </w:r>
      <w:r w:rsidR="00DD6FDC">
        <w:t> </w:t>
      </w:r>
      <w:r w:rsidR="006654A5">
        <w:t>October 2023.</w:t>
      </w:r>
      <w:r w:rsidR="003739F7">
        <w:rPr>
          <w:rStyle w:val="FootnoteReference"/>
        </w:rPr>
        <w:footnoteReference w:id="11"/>
      </w:r>
    </w:p>
    <w:p w14:paraId="37DB4018" w14:textId="67AF7657" w:rsidR="00B7214A" w:rsidRDefault="00FD24CF" w:rsidP="008468CD">
      <w:r>
        <w:t>Appendix B outlines t</w:t>
      </w:r>
      <w:r w:rsidR="00B7214A">
        <w:t>he current maximum unbooked taxi fares.</w:t>
      </w:r>
    </w:p>
    <w:p w14:paraId="12AA2CF4" w14:textId="27A08102" w:rsidR="00AE13F5" w:rsidRDefault="00EC4AEB" w:rsidP="00AE13F5">
      <w:pPr>
        <w:pStyle w:val="Heading2"/>
      </w:pPr>
      <w:bookmarkStart w:id="43" w:name="_Toc148433360"/>
      <w:r>
        <w:t xml:space="preserve">We seek views on our </w:t>
      </w:r>
      <w:proofErr w:type="gramStart"/>
      <w:r>
        <w:t>approach</w:t>
      </w:r>
      <w:bookmarkEnd w:id="43"/>
      <w:proofErr w:type="gramEnd"/>
    </w:p>
    <w:p w14:paraId="53AF3F32" w14:textId="77777777" w:rsidR="00D75E72" w:rsidRDefault="007D5D4A" w:rsidP="003B3C41">
      <w:r>
        <w:t>In deciding whether t</w:t>
      </w:r>
      <w:r w:rsidR="00F85597">
        <w:t>o</w:t>
      </w:r>
      <w:r>
        <w:t xml:space="preserve"> change maximum unbooked taxi fares, we will consider</w:t>
      </w:r>
      <w:r w:rsidR="00D75E72">
        <w:t>:</w:t>
      </w:r>
    </w:p>
    <w:p w14:paraId="12F0A705" w14:textId="27BB5258" w:rsidR="00D75E72" w:rsidRDefault="00D75E72" w:rsidP="00D75E72">
      <w:pPr>
        <w:pStyle w:val="ListBullet"/>
      </w:pPr>
      <w:r>
        <w:t xml:space="preserve">changes in the costs of operating a taxi </w:t>
      </w:r>
      <w:proofErr w:type="gramStart"/>
      <w:r>
        <w:t>service</w:t>
      </w:r>
      <w:proofErr w:type="gramEnd"/>
      <w:r>
        <w:t xml:space="preserve"> </w:t>
      </w:r>
    </w:p>
    <w:p w14:paraId="3EEA0F8A" w14:textId="5852D142" w:rsidR="00D75E72" w:rsidRDefault="007D5D4A" w:rsidP="00D75E72">
      <w:pPr>
        <w:pStyle w:val="ListBullet"/>
      </w:pPr>
      <w:r>
        <w:t xml:space="preserve">changes in </w:t>
      </w:r>
      <w:r w:rsidR="00EE46EA">
        <w:t xml:space="preserve">the supply </w:t>
      </w:r>
      <w:r w:rsidR="00D479F3">
        <w:t xml:space="preserve">of </w:t>
      </w:r>
      <w:r w:rsidR="00EE46EA">
        <w:t>and demand for taxi services</w:t>
      </w:r>
    </w:p>
    <w:p w14:paraId="26F0ACE3" w14:textId="02820B90" w:rsidR="00053C70" w:rsidRDefault="00A21C59" w:rsidP="005B4AAA">
      <w:pPr>
        <w:pStyle w:val="ListBullet"/>
      </w:pPr>
      <w:r>
        <w:t xml:space="preserve">changes in </w:t>
      </w:r>
      <w:r w:rsidR="00EE46EA">
        <w:t>service quality</w:t>
      </w:r>
      <w:r w:rsidR="00F85597">
        <w:t>.</w:t>
      </w:r>
      <w:r w:rsidR="004E76D5">
        <w:rPr>
          <w:rStyle w:val="FootnoteReference"/>
        </w:rPr>
        <w:footnoteReference w:id="12"/>
      </w:r>
      <w:r w:rsidR="00F85597">
        <w:t xml:space="preserve"> </w:t>
      </w:r>
    </w:p>
    <w:p w14:paraId="24D2DBB5" w14:textId="480BEEB7" w:rsidR="00DE5421" w:rsidRDefault="00DE5421" w:rsidP="00DE5421">
      <w:r>
        <w:t xml:space="preserve">In the past we collected data from industry participants to </w:t>
      </w:r>
      <w:r w:rsidR="00197161">
        <w:t>help us form a view on how the taxi market was performing</w:t>
      </w:r>
      <w:r>
        <w:t>. While this data provide</w:t>
      </w:r>
      <w:r w:rsidR="00A56FE8">
        <w:t>d</w:t>
      </w:r>
      <w:r>
        <w:t xml:space="preserve"> useful information</w:t>
      </w:r>
      <w:r w:rsidR="000A59A2">
        <w:t xml:space="preserve"> in previous reviews</w:t>
      </w:r>
      <w:r>
        <w:t>, we do not intend to collect it for this review.</w:t>
      </w:r>
      <w:r>
        <w:rPr>
          <w:rStyle w:val="FootnoteReference"/>
        </w:rPr>
        <w:footnoteReference w:id="13"/>
      </w:r>
      <w:r>
        <w:t xml:space="preserve"> </w:t>
      </w:r>
    </w:p>
    <w:p w14:paraId="2CD44F7A" w14:textId="57D0D985" w:rsidR="00F1708E" w:rsidRPr="00A31A34" w:rsidRDefault="00F1708E" w:rsidP="00DE5421">
      <w:r>
        <w:t xml:space="preserve">We will draw on data from our previous reviews and seek views from stakeholders on how the market has changed. </w:t>
      </w:r>
      <w:r w:rsidR="00202468">
        <w:t xml:space="preserve">As we last collected data on </w:t>
      </w:r>
      <w:r w:rsidR="00864270">
        <w:t xml:space="preserve">the taxi market in 2022, we do not consider that the benefits of updating our </w:t>
      </w:r>
      <w:r w:rsidR="0099766A">
        <w:t xml:space="preserve">analysis </w:t>
      </w:r>
      <w:r w:rsidR="00A31A34">
        <w:rPr>
          <w:i/>
          <w:iCs/>
        </w:rPr>
        <w:t>for this review</w:t>
      </w:r>
      <w:r w:rsidR="00A31A34">
        <w:t xml:space="preserve"> is proportionate to the cost of collecting it. </w:t>
      </w:r>
    </w:p>
    <w:p w14:paraId="502945AF" w14:textId="68C286C6" w:rsidR="00EC26F8" w:rsidRDefault="00EC26F8" w:rsidP="00EC6535">
      <w:pPr>
        <w:pStyle w:val="Heading3"/>
      </w:pPr>
      <w:bookmarkStart w:id="44" w:name="_Toc148433361"/>
      <w:r>
        <w:t xml:space="preserve">We will </w:t>
      </w:r>
      <w:r w:rsidR="0029460D">
        <w:t xml:space="preserve">use </w:t>
      </w:r>
      <w:r>
        <w:t>our taxi cost index</w:t>
      </w:r>
      <w:r w:rsidR="007B7E46">
        <w:t xml:space="preserve"> to assess</w:t>
      </w:r>
      <w:r w:rsidR="00220C34">
        <w:t xml:space="preserve"> </w:t>
      </w:r>
      <w:r w:rsidR="00A132F2">
        <w:t xml:space="preserve">changes in the </w:t>
      </w:r>
      <w:r w:rsidR="00C053A9">
        <w:t xml:space="preserve">costs of operating a </w:t>
      </w:r>
      <w:proofErr w:type="gramStart"/>
      <w:r w:rsidR="00C053A9">
        <w:t>taxi</w:t>
      </w:r>
      <w:bookmarkEnd w:id="44"/>
      <w:proofErr w:type="gramEnd"/>
    </w:p>
    <w:p w14:paraId="1E97C47A" w14:textId="70FDA8C1" w:rsidR="00CD37F3" w:rsidRDefault="00CB552A" w:rsidP="009E4234">
      <w:r>
        <w:t>We maintain a</w:t>
      </w:r>
      <w:r w:rsidR="001873FC">
        <w:t xml:space="preserve"> taxi cost inde</w:t>
      </w:r>
      <w:r w:rsidR="00FA4476">
        <w:t xml:space="preserve">x to </w:t>
      </w:r>
      <w:r w:rsidR="008A5F10">
        <w:t>assess</w:t>
      </w:r>
      <w:r w:rsidR="00FA4476">
        <w:t xml:space="preserve"> the changes in the cost</w:t>
      </w:r>
      <w:r w:rsidR="00A4447C">
        <w:t>s</w:t>
      </w:r>
      <w:r w:rsidR="00FA4476">
        <w:t xml:space="preserve"> of operating </w:t>
      </w:r>
      <w:r w:rsidR="00A4447C">
        <w:t xml:space="preserve">a </w:t>
      </w:r>
      <w:r w:rsidR="00FA4476">
        <w:t xml:space="preserve">taxi over time. </w:t>
      </w:r>
      <w:r w:rsidR="00CD37F3">
        <w:t xml:space="preserve">The index was the basis for increasing fares in our previous review. </w:t>
      </w:r>
      <w:r w:rsidR="00343508">
        <w:t>The taxi cost inde</w:t>
      </w:r>
      <w:r w:rsidR="001D4959">
        <w:t>x</w:t>
      </w:r>
      <w:r w:rsidR="006148D4">
        <w:t>:</w:t>
      </w:r>
    </w:p>
    <w:p w14:paraId="3753475A" w14:textId="0485CAFF" w:rsidR="000C4C93" w:rsidRDefault="00F0029C" w:rsidP="00017889">
      <w:pPr>
        <w:pStyle w:val="ListBullet"/>
      </w:pPr>
      <w:r>
        <w:t xml:space="preserve">includes </w:t>
      </w:r>
      <w:r w:rsidR="000C4C93">
        <w:t xml:space="preserve">the </w:t>
      </w:r>
      <w:r w:rsidR="000C4C93" w:rsidRPr="00972F7F">
        <w:rPr>
          <w:b/>
          <w:bCs/>
        </w:rPr>
        <w:t>cost components</w:t>
      </w:r>
      <w:r w:rsidR="000C4C93">
        <w:t xml:space="preserve"> associated with operating </w:t>
      </w:r>
      <w:proofErr w:type="gramStart"/>
      <w:r w:rsidR="000C4C93">
        <w:t>taxis</w:t>
      </w:r>
      <w:proofErr w:type="gramEnd"/>
    </w:p>
    <w:p w14:paraId="10E5122D" w14:textId="66DB1E3A" w:rsidR="000C4C93" w:rsidRDefault="00643D24" w:rsidP="00017889">
      <w:pPr>
        <w:pStyle w:val="ListBullet"/>
      </w:pPr>
      <w:r>
        <w:t xml:space="preserve">identifies </w:t>
      </w:r>
      <w:r w:rsidR="000C4C93">
        <w:t>the share of each cost component as a proportion of total cost (</w:t>
      </w:r>
      <w:r w:rsidR="000C4C93" w:rsidRPr="00972F7F">
        <w:rPr>
          <w:b/>
          <w:bCs/>
        </w:rPr>
        <w:t>cost share</w:t>
      </w:r>
      <w:r w:rsidR="000C4C93">
        <w:t>)</w:t>
      </w:r>
    </w:p>
    <w:p w14:paraId="51083FDD" w14:textId="0249ACA2" w:rsidR="000C4C93" w:rsidRPr="001873FC" w:rsidRDefault="000C4C93" w:rsidP="00017889">
      <w:pPr>
        <w:pStyle w:val="ListBullet"/>
      </w:pPr>
      <w:r>
        <w:t>assign</w:t>
      </w:r>
      <w:r w:rsidR="003B6384">
        <w:t>s</w:t>
      </w:r>
      <w:r>
        <w:t xml:space="preserve"> a </w:t>
      </w:r>
      <w:r w:rsidRPr="00972F7F">
        <w:rPr>
          <w:b/>
          <w:bCs/>
        </w:rPr>
        <w:t>cost inflator</w:t>
      </w:r>
      <w:r>
        <w:t xml:space="preserve"> to each cost component</w:t>
      </w:r>
      <w:r w:rsidR="002A0E11">
        <w:t>.</w:t>
      </w:r>
    </w:p>
    <w:p w14:paraId="1C69AB20" w14:textId="5CD697C5" w:rsidR="00963D54" w:rsidRPr="001873FC" w:rsidRDefault="00963D54" w:rsidP="00963D54">
      <w:r>
        <w:t>We</w:t>
      </w:r>
      <w:r w:rsidR="00E44C6A">
        <w:t xml:space="preserve"> developed our current taxi index in</w:t>
      </w:r>
      <w:r>
        <w:t xml:space="preserve"> 2022</w:t>
      </w:r>
      <w:r w:rsidR="00E23EB2">
        <w:t xml:space="preserve"> after</w:t>
      </w:r>
      <w:r>
        <w:t xml:space="preserve"> surveying taxi operators about their actual costs. We used the survey data to</w:t>
      </w:r>
      <w:r w:rsidR="00AC0D9F">
        <w:t xml:space="preserve"> identify the cost components</w:t>
      </w:r>
      <w:r w:rsidR="005F0F0A">
        <w:t xml:space="preserve"> and determine the </w:t>
      </w:r>
      <w:r w:rsidR="00EA0147">
        <w:t xml:space="preserve">cost share for </w:t>
      </w:r>
      <w:r w:rsidR="003F7B00">
        <w:t>each component.</w:t>
      </w:r>
    </w:p>
    <w:p w14:paraId="2CA502AE" w14:textId="36D6E000" w:rsidR="0026685E" w:rsidRDefault="001B33F0" w:rsidP="009D346B">
      <w:r>
        <w:lastRenderedPageBreak/>
        <w:t xml:space="preserve">We propose </w:t>
      </w:r>
      <w:r w:rsidR="00BE6B00">
        <w:t xml:space="preserve">to </w:t>
      </w:r>
      <w:r w:rsidR="00103EE1">
        <w:t xml:space="preserve">update the cost inflators based on the most up-to-date information. The </w:t>
      </w:r>
      <w:r>
        <w:t xml:space="preserve">cost components and cost </w:t>
      </w:r>
      <w:r w:rsidR="00896D04">
        <w:t xml:space="preserve">shares </w:t>
      </w:r>
      <w:r w:rsidR="0099056A">
        <w:t>will be</w:t>
      </w:r>
      <w:r>
        <w:t xml:space="preserve"> based on </w:t>
      </w:r>
      <w:r w:rsidR="0099056A">
        <w:t>our</w:t>
      </w:r>
      <w:r>
        <w:t xml:space="preserve"> 2022 survey of taxi operators</w:t>
      </w:r>
      <w:r w:rsidR="00815AD6">
        <w:t>.</w:t>
      </w:r>
      <w:r w:rsidR="00744E22">
        <w:rPr>
          <w:rStyle w:val="FootnoteReference"/>
        </w:rPr>
        <w:footnoteReference w:id="14"/>
      </w:r>
      <w:r w:rsidR="00815AD6">
        <w:t xml:space="preserve"> </w:t>
      </w:r>
      <w:r w:rsidR="00E82402">
        <w:fldChar w:fldCharType="begin"/>
      </w:r>
      <w:r w:rsidR="00E82402">
        <w:instrText xml:space="preserve"> REF _Ref146050168 </w:instrText>
      </w:r>
      <w:r w:rsidR="00E82402">
        <w:fldChar w:fldCharType="separate"/>
      </w:r>
      <w:r w:rsidR="00C3195D">
        <w:t xml:space="preserve">Table </w:t>
      </w:r>
      <w:r w:rsidR="00E82402">
        <w:fldChar w:fldCharType="end"/>
      </w:r>
      <w:r w:rsidR="0051235B">
        <w:t>2</w:t>
      </w:r>
      <w:r w:rsidR="00E82402">
        <w:t xml:space="preserve"> </w:t>
      </w:r>
      <w:r w:rsidR="009B23AB">
        <w:t>outline</w:t>
      </w:r>
      <w:r w:rsidR="000A2B41">
        <w:t>s</w:t>
      </w:r>
      <w:r w:rsidR="009B23AB">
        <w:t xml:space="preserve"> the </w:t>
      </w:r>
      <w:r w:rsidR="0089616F">
        <w:t xml:space="preserve">cost components </w:t>
      </w:r>
      <w:r w:rsidR="009B23AB">
        <w:t xml:space="preserve">and </w:t>
      </w:r>
      <w:r w:rsidR="00896D04">
        <w:t>cost inflators</w:t>
      </w:r>
      <w:r w:rsidR="000A2B41">
        <w:t xml:space="preserve"> that make up the </w:t>
      </w:r>
      <w:r w:rsidR="009B23AB">
        <w:t>current taxi cost index</w:t>
      </w:r>
      <w:r w:rsidR="006301DC">
        <w:t xml:space="preserve"> for a conventional taxi</w:t>
      </w:r>
      <w:r w:rsidR="009B23AB">
        <w:t>.</w:t>
      </w:r>
      <w:r w:rsidR="004F26F3">
        <w:t xml:space="preserve"> </w:t>
      </w:r>
    </w:p>
    <w:p w14:paraId="4A92ABE1" w14:textId="7A6AF1BC" w:rsidR="00DD319C" w:rsidRDefault="0026685E" w:rsidP="009D346B">
      <w:r>
        <w:t>In our 2022 review, we used the taxi cost index for conventional taxis as the basis for increasing most fees and charges by 11.2</w:t>
      </w:r>
      <w:r w:rsidR="00A5672D">
        <w:t> per cent</w:t>
      </w:r>
      <w:r>
        <w:t>. We used the taxi cost index for wheelchair accessible taxis as the basis for increasing high occupancy fees and charges by 12.2</w:t>
      </w:r>
      <w:r w:rsidR="00A5672D">
        <w:t> per cent</w:t>
      </w:r>
      <w:r>
        <w:t xml:space="preserve">. </w:t>
      </w:r>
      <w:r w:rsidR="00D80171">
        <w:t xml:space="preserve">The cost shares for a </w:t>
      </w:r>
      <w:r w:rsidR="002E3306">
        <w:t xml:space="preserve">wheelchair accessible vehicle are set out in Appendix C. </w:t>
      </w:r>
    </w:p>
    <w:p w14:paraId="0316F976" w14:textId="3744341E" w:rsidR="00765945" w:rsidRDefault="00765945" w:rsidP="00765945">
      <w:r>
        <w:t>To update the taxi cost index and measure the change in the cost of operating a taxi, we will:</w:t>
      </w:r>
    </w:p>
    <w:p w14:paraId="236CD47F" w14:textId="77777777" w:rsidR="00765945" w:rsidRDefault="00765945" w:rsidP="00765945">
      <w:pPr>
        <w:pStyle w:val="ListBullet"/>
      </w:pPr>
      <w:r>
        <w:t>multiply the cost share for each cost component by the change in its respective cost inflator (index contribution)</w:t>
      </w:r>
    </w:p>
    <w:p w14:paraId="2120E18F" w14:textId="77777777" w:rsidR="00765945" w:rsidRDefault="00765945" w:rsidP="00765945">
      <w:pPr>
        <w:pStyle w:val="ListBullet"/>
      </w:pPr>
      <w:r>
        <w:t>add up the index contribution for each cost component to find the total change in costs.</w:t>
      </w:r>
    </w:p>
    <w:p w14:paraId="046FA1B1" w14:textId="4805D066" w:rsidR="00D70117" w:rsidRDefault="00D70117" w:rsidP="00931F93">
      <w:pPr>
        <w:pStyle w:val="Figure-Table-BoxHeading"/>
        <w:ind w:left="0" w:firstLine="0"/>
      </w:pPr>
      <w:bookmarkStart w:id="45" w:name="_Ref146050168"/>
      <w:r>
        <w:t xml:space="preserve">Table </w:t>
      </w:r>
      <w:bookmarkEnd w:id="45"/>
      <w:r w:rsidR="0051235B">
        <w:t>2</w:t>
      </w:r>
      <w:r w:rsidR="0051235B">
        <w:tab/>
      </w:r>
      <w:r>
        <w:t>Proposed taxi cost index</w:t>
      </w:r>
    </w:p>
    <w:tbl>
      <w:tblPr>
        <w:tblStyle w:val="TableGrid"/>
        <w:tblW w:w="9639" w:type="dxa"/>
        <w:tblLook w:val="04A0" w:firstRow="1" w:lastRow="0" w:firstColumn="1" w:lastColumn="0" w:noHBand="0" w:noVBand="1"/>
      </w:tblPr>
      <w:tblGrid>
        <w:gridCol w:w="1843"/>
        <w:gridCol w:w="1134"/>
        <w:gridCol w:w="3260"/>
        <w:gridCol w:w="3402"/>
      </w:tblGrid>
      <w:tr w:rsidR="00972F7F" w:rsidRPr="00D70117" w14:paraId="024E4DFF" w14:textId="77777777" w:rsidTr="00972F7F">
        <w:trPr>
          <w:cnfStyle w:val="100000000000" w:firstRow="1" w:lastRow="0" w:firstColumn="0" w:lastColumn="0" w:oddVBand="0" w:evenVBand="0" w:oddHBand="0" w:evenHBand="0" w:firstRowFirstColumn="0" w:firstRowLastColumn="0" w:lastRowFirstColumn="0" w:lastRowLastColumn="0"/>
        </w:trPr>
        <w:tc>
          <w:tcPr>
            <w:tcW w:w="1843" w:type="dxa"/>
          </w:tcPr>
          <w:p w14:paraId="2186338E" w14:textId="7E4DF90F" w:rsidR="00972F7F" w:rsidRPr="00564DBE" w:rsidRDefault="00972F7F" w:rsidP="00972F7F">
            <w:pPr>
              <w:pStyle w:val="TableHeading"/>
            </w:pPr>
            <w:r w:rsidRPr="00564DBE">
              <w:t>Cost component</w:t>
            </w:r>
          </w:p>
        </w:tc>
        <w:tc>
          <w:tcPr>
            <w:tcW w:w="1134" w:type="dxa"/>
          </w:tcPr>
          <w:p w14:paraId="347494DF" w14:textId="2FF3B150" w:rsidR="00972F7F" w:rsidRPr="00564DBE" w:rsidRDefault="00972F7F" w:rsidP="0088256A">
            <w:pPr>
              <w:pStyle w:val="TableHeading"/>
              <w:ind w:right="113"/>
              <w:jc w:val="right"/>
            </w:pPr>
            <w:r w:rsidRPr="00564DBE">
              <w:t>Cost share</w:t>
            </w:r>
          </w:p>
        </w:tc>
        <w:tc>
          <w:tcPr>
            <w:tcW w:w="3260" w:type="dxa"/>
          </w:tcPr>
          <w:p w14:paraId="488F779F" w14:textId="13CFEA01" w:rsidR="00972F7F" w:rsidRDefault="00972F7F" w:rsidP="00972F7F">
            <w:pPr>
              <w:pStyle w:val="TableHeading"/>
            </w:pPr>
            <w:r>
              <w:t>Cost</w:t>
            </w:r>
            <w:r w:rsidRPr="00564DBE">
              <w:t xml:space="preserve"> inflator</w:t>
            </w:r>
          </w:p>
        </w:tc>
        <w:tc>
          <w:tcPr>
            <w:tcW w:w="3402" w:type="dxa"/>
          </w:tcPr>
          <w:p w14:paraId="79822A8C" w14:textId="73583E4E" w:rsidR="00972F7F" w:rsidRPr="00564DBE" w:rsidRDefault="00972F7F" w:rsidP="00972F7F">
            <w:pPr>
              <w:pStyle w:val="TableHeading"/>
            </w:pPr>
            <w:r>
              <w:t>Description</w:t>
            </w:r>
            <w:r w:rsidR="000C7A12">
              <w:t xml:space="preserve"> of cost component</w:t>
            </w:r>
          </w:p>
        </w:tc>
      </w:tr>
      <w:tr w:rsidR="00972F7F" w:rsidRPr="00D70117" w14:paraId="77FB9ADF" w14:textId="77777777" w:rsidTr="00972F7F">
        <w:trPr>
          <w:cnfStyle w:val="000000100000" w:firstRow="0" w:lastRow="0" w:firstColumn="0" w:lastColumn="0" w:oddVBand="0" w:evenVBand="0" w:oddHBand="1" w:evenHBand="0" w:firstRowFirstColumn="0" w:firstRowLastColumn="0" w:lastRowFirstColumn="0" w:lastRowLastColumn="0"/>
        </w:trPr>
        <w:tc>
          <w:tcPr>
            <w:tcW w:w="1843" w:type="dxa"/>
          </w:tcPr>
          <w:p w14:paraId="1112E8CF" w14:textId="2DC3DA59" w:rsidR="00972F7F" w:rsidRPr="00564DBE" w:rsidRDefault="00972F7F" w:rsidP="00972F7F">
            <w:pPr>
              <w:pStyle w:val="TableBody"/>
            </w:pPr>
            <w:r w:rsidRPr="00564DBE">
              <w:t>Fuel</w:t>
            </w:r>
          </w:p>
        </w:tc>
        <w:tc>
          <w:tcPr>
            <w:tcW w:w="1134" w:type="dxa"/>
          </w:tcPr>
          <w:p w14:paraId="1D7A1762" w14:textId="02D96CFB" w:rsidR="00972F7F" w:rsidRPr="00564DBE" w:rsidRDefault="00972F7F" w:rsidP="0088256A">
            <w:pPr>
              <w:pStyle w:val="TableBody"/>
              <w:ind w:right="113"/>
              <w:jc w:val="right"/>
            </w:pPr>
            <w:r w:rsidRPr="00564DBE">
              <w:t>6.6%</w:t>
            </w:r>
          </w:p>
        </w:tc>
        <w:tc>
          <w:tcPr>
            <w:tcW w:w="3260" w:type="dxa"/>
          </w:tcPr>
          <w:p w14:paraId="332DCE8E" w14:textId="2A50F10C" w:rsidR="00972F7F" w:rsidRPr="00F744A4" w:rsidRDefault="00972F7F" w:rsidP="00972F7F">
            <w:pPr>
              <w:pStyle w:val="TableBody"/>
            </w:pPr>
            <w:r w:rsidRPr="00564DBE">
              <w:t>FuelTRAC (</w:t>
            </w:r>
            <w:r>
              <w:t xml:space="preserve">Average price of </w:t>
            </w:r>
            <w:r w:rsidRPr="00564DBE">
              <w:t>LPG, unleaded petrol, diesel</w:t>
            </w:r>
            <w:r>
              <w:t xml:space="preserve"> in</w:t>
            </w:r>
            <w:r w:rsidRPr="00564DBE">
              <w:t xml:space="preserve"> Melbourne and regional</w:t>
            </w:r>
            <w:r>
              <w:t xml:space="preserve"> areas</w:t>
            </w:r>
            <w:r w:rsidRPr="00564DBE">
              <w:t>)</w:t>
            </w:r>
          </w:p>
        </w:tc>
        <w:tc>
          <w:tcPr>
            <w:tcW w:w="3402" w:type="dxa"/>
          </w:tcPr>
          <w:p w14:paraId="2FC8248E" w14:textId="109EDADF" w:rsidR="00972F7F" w:rsidRPr="00564DBE" w:rsidRDefault="00972F7F" w:rsidP="00972F7F">
            <w:pPr>
              <w:pStyle w:val="TableBody"/>
            </w:pPr>
            <w:r>
              <w:t>Total fuel costs incurred by a</w:t>
            </w:r>
            <w:r w:rsidR="00CC5A5E">
              <w:t xml:space="preserve"> </w:t>
            </w:r>
            <w:r>
              <w:t>taxi</w:t>
            </w:r>
          </w:p>
        </w:tc>
      </w:tr>
      <w:tr w:rsidR="00972F7F" w:rsidRPr="00D70117" w14:paraId="54EF0E4F" w14:textId="77777777" w:rsidTr="00972F7F">
        <w:trPr>
          <w:cnfStyle w:val="000000010000" w:firstRow="0" w:lastRow="0" w:firstColumn="0" w:lastColumn="0" w:oddVBand="0" w:evenVBand="0" w:oddHBand="0" w:evenHBand="1" w:firstRowFirstColumn="0" w:firstRowLastColumn="0" w:lastRowFirstColumn="0" w:lastRowLastColumn="0"/>
        </w:trPr>
        <w:tc>
          <w:tcPr>
            <w:tcW w:w="1843" w:type="dxa"/>
          </w:tcPr>
          <w:p w14:paraId="0A7150EE" w14:textId="61F76B05" w:rsidR="00972F7F" w:rsidRPr="00564DBE" w:rsidRDefault="00972F7F" w:rsidP="00972F7F">
            <w:pPr>
              <w:pStyle w:val="TableBody"/>
            </w:pPr>
            <w:r w:rsidRPr="00564DBE">
              <w:t>Network (equipment)</w:t>
            </w:r>
          </w:p>
        </w:tc>
        <w:tc>
          <w:tcPr>
            <w:tcW w:w="1134" w:type="dxa"/>
          </w:tcPr>
          <w:p w14:paraId="383A6DF0" w14:textId="16D2F775" w:rsidR="00972F7F" w:rsidRPr="00564DBE" w:rsidRDefault="00972F7F" w:rsidP="0088256A">
            <w:pPr>
              <w:pStyle w:val="TableBody"/>
              <w:ind w:right="113"/>
              <w:jc w:val="right"/>
            </w:pPr>
            <w:r w:rsidRPr="00564DBE">
              <w:t>5.7%</w:t>
            </w:r>
          </w:p>
        </w:tc>
        <w:tc>
          <w:tcPr>
            <w:tcW w:w="3260" w:type="dxa"/>
          </w:tcPr>
          <w:p w14:paraId="2D39B9C3" w14:textId="0D26C94A" w:rsidR="00972F7F" w:rsidRDefault="00D75E72" w:rsidP="00972F7F">
            <w:pPr>
              <w:pStyle w:val="TableBody"/>
            </w:pPr>
            <w:r>
              <w:t>Consumer Price Index (</w:t>
            </w:r>
            <w:proofErr w:type="gramStart"/>
            <w:r w:rsidR="00972F7F" w:rsidRPr="00564DBE">
              <w:t>CPI</w:t>
            </w:r>
            <w:r>
              <w:t xml:space="preserve">) </w:t>
            </w:r>
            <w:r w:rsidR="00972F7F" w:rsidRPr="00564DBE">
              <w:t xml:space="preserve"> (</w:t>
            </w:r>
            <w:proofErr w:type="gramEnd"/>
            <w:r w:rsidR="00972F7F" w:rsidRPr="00564DBE">
              <w:t xml:space="preserve">telecommunications equipment and services component, Melbourne) </w:t>
            </w:r>
          </w:p>
        </w:tc>
        <w:tc>
          <w:tcPr>
            <w:tcW w:w="3402" w:type="dxa"/>
          </w:tcPr>
          <w:p w14:paraId="181214CC" w14:textId="6354BC44" w:rsidR="00972F7F" w:rsidRPr="00564DBE" w:rsidRDefault="00972F7F" w:rsidP="00972F7F">
            <w:pPr>
              <w:pStyle w:val="TableBody"/>
            </w:pPr>
            <w:r>
              <w:t>Equipment costs associated with booking service affiliation</w:t>
            </w:r>
          </w:p>
        </w:tc>
      </w:tr>
      <w:tr w:rsidR="00972F7F" w:rsidRPr="00D70117" w14:paraId="008DA48F" w14:textId="77777777" w:rsidTr="00972F7F">
        <w:trPr>
          <w:cnfStyle w:val="000000100000" w:firstRow="0" w:lastRow="0" w:firstColumn="0" w:lastColumn="0" w:oddVBand="0" w:evenVBand="0" w:oddHBand="1" w:evenHBand="0" w:firstRowFirstColumn="0" w:firstRowLastColumn="0" w:lastRowFirstColumn="0" w:lastRowLastColumn="0"/>
        </w:trPr>
        <w:tc>
          <w:tcPr>
            <w:tcW w:w="1843" w:type="dxa"/>
          </w:tcPr>
          <w:p w14:paraId="7204E149" w14:textId="02B52D1A" w:rsidR="00972F7F" w:rsidRPr="00564DBE" w:rsidRDefault="00972F7F" w:rsidP="00972F7F">
            <w:pPr>
              <w:pStyle w:val="TableBody"/>
            </w:pPr>
            <w:r w:rsidRPr="00564DBE">
              <w:t>Network (labour)</w:t>
            </w:r>
          </w:p>
        </w:tc>
        <w:tc>
          <w:tcPr>
            <w:tcW w:w="1134" w:type="dxa"/>
          </w:tcPr>
          <w:p w14:paraId="40439FA3" w14:textId="76624E66" w:rsidR="00972F7F" w:rsidRPr="00564DBE" w:rsidRDefault="00972F7F" w:rsidP="0088256A">
            <w:pPr>
              <w:pStyle w:val="TableBody"/>
              <w:ind w:right="113"/>
              <w:jc w:val="right"/>
            </w:pPr>
            <w:r w:rsidRPr="00564DBE">
              <w:t>5.7%</w:t>
            </w:r>
          </w:p>
        </w:tc>
        <w:tc>
          <w:tcPr>
            <w:tcW w:w="3260" w:type="dxa"/>
          </w:tcPr>
          <w:p w14:paraId="4F05F66C" w14:textId="0F8912E4" w:rsidR="00972F7F" w:rsidRDefault="00972F7F" w:rsidP="00972F7F">
            <w:pPr>
              <w:pStyle w:val="TableBody"/>
            </w:pPr>
            <w:r w:rsidRPr="00564DBE">
              <w:t>W</w:t>
            </w:r>
            <w:r w:rsidR="00D75E72">
              <w:t xml:space="preserve">age </w:t>
            </w:r>
            <w:r w:rsidRPr="00564DBE">
              <w:t>P</w:t>
            </w:r>
            <w:r w:rsidR="00D75E72">
              <w:t xml:space="preserve">rice </w:t>
            </w:r>
            <w:r w:rsidRPr="00564DBE">
              <w:t>I</w:t>
            </w:r>
            <w:r w:rsidR="00D75E72">
              <w:t>ndex (WPI)</w:t>
            </w:r>
            <w:r w:rsidRPr="00564DBE">
              <w:t xml:space="preserve"> (Victoria)</w:t>
            </w:r>
          </w:p>
        </w:tc>
        <w:tc>
          <w:tcPr>
            <w:tcW w:w="3402" w:type="dxa"/>
          </w:tcPr>
          <w:p w14:paraId="58CC191D" w14:textId="38142701" w:rsidR="00972F7F" w:rsidRPr="00564DBE" w:rsidRDefault="00972F7F" w:rsidP="00972F7F">
            <w:pPr>
              <w:pStyle w:val="TableBody"/>
            </w:pPr>
            <w:r>
              <w:t xml:space="preserve">Labour costs associated with booking service affiliation </w:t>
            </w:r>
          </w:p>
        </w:tc>
      </w:tr>
      <w:tr w:rsidR="00972F7F" w:rsidRPr="00D70117" w14:paraId="0A2BE1CE" w14:textId="77777777" w:rsidTr="00972F7F">
        <w:trPr>
          <w:cnfStyle w:val="000000010000" w:firstRow="0" w:lastRow="0" w:firstColumn="0" w:lastColumn="0" w:oddVBand="0" w:evenVBand="0" w:oddHBand="0" w:evenHBand="1" w:firstRowFirstColumn="0" w:firstRowLastColumn="0" w:lastRowFirstColumn="0" w:lastRowLastColumn="0"/>
        </w:trPr>
        <w:tc>
          <w:tcPr>
            <w:tcW w:w="1843" w:type="dxa"/>
          </w:tcPr>
          <w:p w14:paraId="54EEAC22" w14:textId="73E06BAB" w:rsidR="00972F7F" w:rsidRPr="00564DBE" w:rsidRDefault="00972F7F" w:rsidP="00972F7F">
            <w:pPr>
              <w:pStyle w:val="TableBody"/>
            </w:pPr>
            <w:r w:rsidRPr="00564DBE">
              <w:t>Insurance</w:t>
            </w:r>
          </w:p>
        </w:tc>
        <w:tc>
          <w:tcPr>
            <w:tcW w:w="1134" w:type="dxa"/>
          </w:tcPr>
          <w:p w14:paraId="634E784E" w14:textId="2025377E" w:rsidR="00972F7F" w:rsidRPr="00564DBE" w:rsidRDefault="00972F7F" w:rsidP="0088256A">
            <w:pPr>
              <w:pStyle w:val="TableBody"/>
              <w:ind w:right="113"/>
              <w:jc w:val="right"/>
            </w:pPr>
            <w:r w:rsidRPr="00564DBE">
              <w:t>3.6%</w:t>
            </w:r>
          </w:p>
        </w:tc>
        <w:tc>
          <w:tcPr>
            <w:tcW w:w="3260" w:type="dxa"/>
          </w:tcPr>
          <w:p w14:paraId="5B38E323" w14:textId="4113282F" w:rsidR="00972F7F" w:rsidRDefault="00972F7F" w:rsidP="00972F7F">
            <w:pPr>
              <w:pStyle w:val="TableBody"/>
            </w:pPr>
            <w:r w:rsidRPr="00564DBE">
              <w:t>Insurance Council of Australia comprehensive car insurance index</w:t>
            </w:r>
          </w:p>
        </w:tc>
        <w:tc>
          <w:tcPr>
            <w:tcW w:w="3402" w:type="dxa"/>
          </w:tcPr>
          <w:p w14:paraId="3D4F028F" w14:textId="30AF0AFD" w:rsidR="00972F7F" w:rsidRPr="00564DBE" w:rsidRDefault="00972F7F" w:rsidP="00972F7F">
            <w:pPr>
              <w:pStyle w:val="TableBody"/>
            </w:pPr>
            <w:r>
              <w:t>Includes general liability and</w:t>
            </w:r>
            <w:r w:rsidR="00BC7844">
              <w:t xml:space="preserve"> </w:t>
            </w:r>
            <w:r>
              <w:t>comprehensive insurance</w:t>
            </w:r>
            <w:r w:rsidR="00BC7844">
              <w:t xml:space="preserve"> </w:t>
            </w:r>
            <w:r>
              <w:t>where these are purchased</w:t>
            </w:r>
          </w:p>
        </w:tc>
      </w:tr>
      <w:tr w:rsidR="00972F7F" w:rsidRPr="00D70117" w14:paraId="1087EC92" w14:textId="77777777" w:rsidTr="00972F7F">
        <w:trPr>
          <w:cnfStyle w:val="000000100000" w:firstRow="0" w:lastRow="0" w:firstColumn="0" w:lastColumn="0" w:oddVBand="0" w:evenVBand="0" w:oddHBand="1" w:evenHBand="0" w:firstRowFirstColumn="0" w:firstRowLastColumn="0" w:lastRowFirstColumn="0" w:lastRowLastColumn="0"/>
        </w:trPr>
        <w:tc>
          <w:tcPr>
            <w:tcW w:w="1843" w:type="dxa"/>
          </w:tcPr>
          <w:p w14:paraId="50823F34" w14:textId="5274AA37" w:rsidR="00972F7F" w:rsidRPr="00564DBE" w:rsidRDefault="00972F7F" w:rsidP="00972F7F">
            <w:pPr>
              <w:pStyle w:val="TableBody"/>
            </w:pPr>
            <w:r w:rsidRPr="00564DBE">
              <w:t>Vehicle</w:t>
            </w:r>
          </w:p>
        </w:tc>
        <w:tc>
          <w:tcPr>
            <w:tcW w:w="1134" w:type="dxa"/>
          </w:tcPr>
          <w:p w14:paraId="2FBF7D8A" w14:textId="0C6E6BBD" w:rsidR="00972F7F" w:rsidRPr="00564DBE" w:rsidRDefault="00972F7F" w:rsidP="0088256A">
            <w:pPr>
              <w:pStyle w:val="TableBody"/>
              <w:ind w:right="113"/>
              <w:jc w:val="right"/>
            </w:pPr>
            <w:r w:rsidRPr="00564DBE">
              <w:t>7.6%</w:t>
            </w:r>
          </w:p>
        </w:tc>
        <w:tc>
          <w:tcPr>
            <w:tcW w:w="3260" w:type="dxa"/>
          </w:tcPr>
          <w:p w14:paraId="5DB04F9F" w14:textId="16F95FA7" w:rsidR="00972F7F" w:rsidRDefault="00972F7F" w:rsidP="00972F7F">
            <w:pPr>
              <w:pStyle w:val="TableBody"/>
            </w:pPr>
            <w:r w:rsidRPr="00564DBE">
              <w:t>Imputed on CPI (motor vehicle, Melbourne) and Reserve Bank of Australia lending rates for small businesses</w:t>
            </w:r>
          </w:p>
        </w:tc>
        <w:tc>
          <w:tcPr>
            <w:tcW w:w="3402" w:type="dxa"/>
          </w:tcPr>
          <w:p w14:paraId="1EC4D07F" w14:textId="250DA66A" w:rsidR="00972F7F" w:rsidRPr="00564DBE" w:rsidRDefault="00972F7F" w:rsidP="00972F7F">
            <w:pPr>
              <w:pStyle w:val="TableBody"/>
            </w:pPr>
            <w:r>
              <w:t>Costs associated with</w:t>
            </w:r>
            <w:r w:rsidR="00A70ABB">
              <w:t xml:space="preserve"> </w:t>
            </w:r>
            <w:r>
              <w:t>purchasing or leasing a</w:t>
            </w:r>
            <w:r w:rsidR="00A70ABB">
              <w:t xml:space="preserve"> </w:t>
            </w:r>
            <w:r>
              <w:t>vehicle, including fit-out</w:t>
            </w:r>
          </w:p>
        </w:tc>
      </w:tr>
    </w:tbl>
    <w:p w14:paraId="7DE2021A" w14:textId="12015B1D" w:rsidR="001F11C8" w:rsidRDefault="001F11C8" w:rsidP="001F11C8">
      <w:pPr>
        <w:pStyle w:val="Source"/>
      </w:pPr>
      <w:r>
        <w:t xml:space="preserve">Continued next </w:t>
      </w:r>
      <w:proofErr w:type="gramStart"/>
      <w:r>
        <w:t>page</w:t>
      </w:r>
      <w:proofErr w:type="gramEnd"/>
    </w:p>
    <w:p w14:paraId="4EA8D7A7" w14:textId="2504DB3F" w:rsidR="001F11C8" w:rsidRDefault="001F11C8" w:rsidP="001F11C8">
      <w:pPr>
        <w:pStyle w:val="Figure-Table-BoxHeading"/>
        <w:ind w:left="0" w:firstLine="0"/>
      </w:pPr>
      <w:r>
        <w:lastRenderedPageBreak/>
        <w:t>Table 2 (continued)</w:t>
      </w:r>
    </w:p>
    <w:tbl>
      <w:tblPr>
        <w:tblStyle w:val="TableGrid"/>
        <w:tblW w:w="9639" w:type="dxa"/>
        <w:tblLook w:val="04A0" w:firstRow="1" w:lastRow="0" w:firstColumn="1" w:lastColumn="0" w:noHBand="0" w:noVBand="1"/>
      </w:tblPr>
      <w:tblGrid>
        <w:gridCol w:w="1843"/>
        <w:gridCol w:w="1134"/>
        <w:gridCol w:w="3260"/>
        <w:gridCol w:w="3402"/>
      </w:tblGrid>
      <w:tr w:rsidR="001F11C8" w:rsidRPr="00D70117" w14:paraId="3C27AE14" w14:textId="77777777">
        <w:trPr>
          <w:cnfStyle w:val="100000000000" w:firstRow="1" w:lastRow="0" w:firstColumn="0" w:lastColumn="0" w:oddVBand="0" w:evenVBand="0" w:oddHBand="0" w:evenHBand="0" w:firstRowFirstColumn="0" w:firstRowLastColumn="0" w:lastRowFirstColumn="0" w:lastRowLastColumn="0"/>
        </w:trPr>
        <w:tc>
          <w:tcPr>
            <w:tcW w:w="1843" w:type="dxa"/>
          </w:tcPr>
          <w:p w14:paraId="3E66065F" w14:textId="77777777" w:rsidR="001F11C8" w:rsidRPr="00564DBE" w:rsidRDefault="001F11C8">
            <w:pPr>
              <w:pStyle w:val="TableHeading"/>
            </w:pPr>
            <w:r w:rsidRPr="00564DBE">
              <w:t>Cost component</w:t>
            </w:r>
          </w:p>
        </w:tc>
        <w:tc>
          <w:tcPr>
            <w:tcW w:w="1134" w:type="dxa"/>
          </w:tcPr>
          <w:p w14:paraId="6B0F4925" w14:textId="77777777" w:rsidR="001F11C8" w:rsidRPr="00564DBE" w:rsidRDefault="001F11C8">
            <w:pPr>
              <w:pStyle w:val="TableHeading"/>
              <w:ind w:right="113"/>
              <w:jc w:val="right"/>
            </w:pPr>
            <w:r w:rsidRPr="00564DBE">
              <w:t>Cost share</w:t>
            </w:r>
          </w:p>
        </w:tc>
        <w:tc>
          <w:tcPr>
            <w:tcW w:w="3260" w:type="dxa"/>
          </w:tcPr>
          <w:p w14:paraId="4475FA17" w14:textId="77777777" w:rsidR="001F11C8" w:rsidRDefault="001F11C8">
            <w:pPr>
              <w:pStyle w:val="TableHeading"/>
            </w:pPr>
            <w:r>
              <w:t>Cost</w:t>
            </w:r>
            <w:r w:rsidRPr="00564DBE">
              <w:t xml:space="preserve"> inflator</w:t>
            </w:r>
          </w:p>
        </w:tc>
        <w:tc>
          <w:tcPr>
            <w:tcW w:w="3402" w:type="dxa"/>
          </w:tcPr>
          <w:p w14:paraId="7D0822B0" w14:textId="77777777" w:rsidR="001F11C8" w:rsidRPr="00564DBE" w:rsidRDefault="001F11C8">
            <w:pPr>
              <w:pStyle w:val="TableHeading"/>
            </w:pPr>
            <w:r>
              <w:t>Description of cost component</w:t>
            </w:r>
          </w:p>
        </w:tc>
      </w:tr>
      <w:tr w:rsidR="007F7BA5" w:rsidRPr="00D70117" w14:paraId="0C2092E7" w14:textId="77777777">
        <w:trPr>
          <w:cnfStyle w:val="000000100000" w:firstRow="0" w:lastRow="0" w:firstColumn="0" w:lastColumn="0" w:oddVBand="0" w:evenVBand="0" w:oddHBand="1" w:evenHBand="0" w:firstRowFirstColumn="0" w:firstRowLastColumn="0" w:lastRowFirstColumn="0" w:lastRowLastColumn="0"/>
        </w:trPr>
        <w:tc>
          <w:tcPr>
            <w:tcW w:w="1843" w:type="dxa"/>
          </w:tcPr>
          <w:p w14:paraId="262E04C5" w14:textId="0A93DA62" w:rsidR="007F7BA5" w:rsidRPr="00564DBE" w:rsidRDefault="007F7BA5" w:rsidP="007F7BA5">
            <w:pPr>
              <w:pStyle w:val="TableBody"/>
            </w:pPr>
            <w:r w:rsidRPr="00564DBE">
              <w:t>Registration</w:t>
            </w:r>
          </w:p>
        </w:tc>
        <w:tc>
          <w:tcPr>
            <w:tcW w:w="1134" w:type="dxa"/>
          </w:tcPr>
          <w:p w14:paraId="4E79CFCF" w14:textId="1EE2A747" w:rsidR="007F7BA5" w:rsidRPr="00564DBE" w:rsidRDefault="007F7BA5" w:rsidP="007F7BA5">
            <w:pPr>
              <w:pStyle w:val="TableBody"/>
              <w:ind w:right="113"/>
              <w:jc w:val="right"/>
            </w:pPr>
            <w:r w:rsidRPr="00564DBE">
              <w:t>1.2%</w:t>
            </w:r>
          </w:p>
        </w:tc>
        <w:tc>
          <w:tcPr>
            <w:tcW w:w="3260" w:type="dxa"/>
          </w:tcPr>
          <w:p w14:paraId="322614A9" w14:textId="1BD51389" w:rsidR="007F7BA5" w:rsidRDefault="007F7BA5" w:rsidP="007F7BA5">
            <w:pPr>
              <w:pStyle w:val="TableBody"/>
            </w:pPr>
            <w:r w:rsidRPr="00564DBE">
              <w:t>Imputed based on actual Transport Accident Charge</w:t>
            </w:r>
          </w:p>
        </w:tc>
        <w:tc>
          <w:tcPr>
            <w:tcW w:w="3402" w:type="dxa"/>
          </w:tcPr>
          <w:p w14:paraId="79F376C6" w14:textId="3FBB68D4" w:rsidR="007F7BA5" w:rsidRPr="00564DBE" w:rsidRDefault="007F7BA5" w:rsidP="007F7BA5">
            <w:pPr>
              <w:pStyle w:val="TableBody"/>
            </w:pPr>
            <w:r>
              <w:t>Vehicle registration and compulsory third-party insurance (Transport Accident Charge)</w:t>
            </w:r>
          </w:p>
        </w:tc>
      </w:tr>
      <w:tr w:rsidR="007F7BA5" w:rsidRPr="00D70117" w14:paraId="61369861" w14:textId="77777777">
        <w:trPr>
          <w:cnfStyle w:val="000000010000" w:firstRow="0" w:lastRow="0" w:firstColumn="0" w:lastColumn="0" w:oddVBand="0" w:evenVBand="0" w:oddHBand="0" w:evenHBand="1" w:firstRowFirstColumn="0" w:firstRowLastColumn="0" w:lastRowFirstColumn="0" w:lastRowLastColumn="0"/>
        </w:trPr>
        <w:tc>
          <w:tcPr>
            <w:tcW w:w="1843" w:type="dxa"/>
          </w:tcPr>
          <w:p w14:paraId="3C6114B5" w14:textId="13B1679B" w:rsidR="007F7BA5" w:rsidRPr="00564DBE" w:rsidRDefault="007F7BA5" w:rsidP="007F7BA5">
            <w:pPr>
              <w:pStyle w:val="TableBody"/>
            </w:pPr>
            <w:r w:rsidRPr="00564DBE">
              <w:t>Repairs and maintenance</w:t>
            </w:r>
          </w:p>
        </w:tc>
        <w:tc>
          <w:tcPr>
            <w:tcW w:w="1134" w:type="dxa"/>
          </w:tcPr>
          <w:p w14:paraId="736446CE" w14:textId="17E06FF1" w:rsidR="007F7BA5" w:rsidRPr="00564DBE" w:rsidRDefault="007F7BA5" w:rsidP="007F7BA5">
            <w:pPr>
              <w:pStyle w:val="TableBody"/>
              <w:ind w:right="113"/>
              <w:jc w:val="right"/>
            </w:pPr>
            <w:r w:rsidRPr="00564DBE">
              <w:t>6.9%</w:t>
            </w:r>
          </w:p>
        </w:tc>
        <w:tc>
          <w:tcPr>
            <w:tcW w:w="3260" w:type="dxa"/>
          </w:tcPr>
          <w:p w14:paraId="68FD51FB" w14:textId="183320BC" w:rsidR="007F7BA5" w:rsidRPr="00564DBE" w:rsidRDefault="007F7BA5" w:rsidP="007F7BA5">
            <w:pPr>
              <w:pStyle w:val="TableBody"/>
            </w:pPr>
            <w:r w:rsidRPr="00564DBE">
              <w:t>CPI (maintenance and repairs of motor vehicles, Melbourne)</w:t>
            </w:r>
          </w:p>
        </w:tc>
        <w:tc>
          <w:tcPr>
            <w:tcW w:w="3402" w:type="dxa"/>
          </w:tcPr>
          <w:p w14:paraId="593F01D8" w14:textId="7C7B77E7" w:rsidR="007F7BA5" w:rsidRDefault="007F7BA5" w:rsidP="007F7BA5">
            <w:pPr>
              <w:pStyle w:val="TableBody"/>
            </w:pPr>
            <w:r>
              <w:t>Cost of taxi operators’ own time, staff costs and costs paid to other businesses for maintenance and repair</w:t>
            </w:r>
          </w:p>
        </w:tc>
      </w:tr>
      <w:tr w:rsidR="007F7BA5" w:rsidRPr="00D70117" w14:paraId="4944E3BE" w14:textId="77777777">
        <w:trPr>
          <w:cnfStyle w:val="000000100000" w:firstRow="0" w:lastRow="0" w:firstColumn="0" w:lastColumn="0" w:oddVBand="0" w:evenVBand="0" w:oddHBand="1" w:evenHBand="0" w:firstRowFirstColumn="0" w:firstRowLastColumn="0" w:lastRowFirstColumn="0" w:lastRowLastColumn="0"/>
        </w:trPr>
        <w:tc>
          <w:tcPr>
            <w:tcW w:w="1843" w:type="dxa"/>
          </w:tcPr>
          <w:p w14:paraId="159CEA4F" w14:textId="27B3CE2F" w:rsidR="007F7BA5" w:rsidRPr="00564DBE" w:rsidRDefault="007F7BA5" w:rsidP="007F7BA5">
            <w:pPr>
              <w:pStyle w:val="TableBody"/>
            </w:pPr>
            <w:r w:rsidRPr="00564DBE">
              <w:t>Administration</w:t>
            </w:r>
          </w:p>
        </w:tc>
        <w:tc>
          <w:tcPr>
            <w:tcW w:w="1134" w:type="dxa"/>
          </w:tcPr>
          <w:p w14:paraId="3FD5934B" w14:textId="37F99EE4" w:rsidR="007F7BA5" w:rsidRPr="00564DBE" w:rsidRDefault="007F7BA5" w:rsidP="007F7BA5">
            <w:pPr>
              <w:pStyle w:val="TableBody"/>
              <w:ind w:right="113"/>
              <w:jc w:val="right"/>
            </w:pPr>
            <w:r w:rsidRPr="00564DBE">
              <w:t>7.7%</w:t>
            </w:r>
          </w:p>
        </w:tc>
        <w:tc>
          <w:tcPr>
            <w:tcW w:w="3260" w:type="dxa"/>
          </w:tcPr>
          <w:p w14:paraId="7F807FBB" w14:textId="7E51650B" w:rsidR="007F7BA5" w:rsidRPr="00564DBE" w:rsidRDefault="007F7BA5" w:rsidP="007F7BA5">
            <w:pPr>
              <w:pStyle w:val="TableBody"/>
            </w:pPr>
            <w:r w:rsidRPr="00564DBE">
              <w:t>WPI (Victoria), CPI (all groups, Melbourne)</w:t>
            </w:r>
          </w:p>
        </w:tc>
        <w:tc>
          <w:tcPr>
            <w:tcW w:w="3402" w:type="dxa"/>
          </w:tcPr>
          <w:p w14:paraId="7FB120D1" w14:textId="139E5D7F" w:rsidR="007F7BA5" w:rsidRDefault="007F7BA5" w:rsidP="007F7BA5">
            <w:pPr>
              <w:pStyle w:val="TableBody"/>
            </w:pPr>
            <w:r>
              <w:t>Cost of taxi operators’ own time, staff costs and costs paid to other businesses for administration (</w:t>
            </w:r>
            <w:proofErr w:type="gramStart"/>
            <w:r>
              <w:t>e.g.</w:t>
            </w:r>
            <w:proofErr w:type="gramEnd"/>
            <w:r>
              <w:t xml:space="preserve"> accountant)</w:t>
            </w:r>
          </w:p>
        </w:tc>
      </w:tr>
      <w:tr w:rsidR="007F7BA5" w:rsidRPr="00D70117" w14:paraId="6767117C" w14:textId="77777777">
        <w:trPr>
          <w:cnfStyle w:val="000000010000" w:firstRow="0" w:lastRow="0" w:firstColumn="0" w:lastColumn="0" w:oddVBand="0" w:evenVBand="0" w:oddHBand="0" w:evenHBand="1" w:firstRowFirstColumn="0" w:firstRowLastColumn="0" w:lastRowFirstColumn="0" w:lastRowLastColumn="0"/>
        </w:trPr>
        <w:tc>
          <w:tcPr>
            <w:tcW w:w="1843" w:type="dxa"/>
          </w:tcPr>
          <w:p w14:paraId="5DE9D6AB" w14:textId="5BD71637" w:rsidR="007F7BA5" w:rsidRPr="00564DBE" w:rsidRDefault="007F7BA5" w:rsidP="007F7BA5">
            <w:pPr>
              <w:pStyle w:val="TableBody"/>
            </w:pPr>
            <w:r w:rsidRPr="00564DBE">
              <w:t>Driver labour</w:t>
            </w:r>
          </w:p>
        </w:tc>
        <w:tc>
          <w:tcPr>
            <w:tcW w:w="1134" w:type="dxa"/>
          </w:tcPr>
          <w:p w14:paraId="6EDD431F" w14:textId="657C1B70" w:rsidR="007F7BA5" w:rsidRPr="00564DBE" w:rsidRDefault="007F7BA5" w:rsidP="007F7BA5">
            <w:pPr>
              <w:pStyle w:val="TableBody"/>
              <w:ind w:right="113"/>
              <w:jc w:val="right"/>
            </w:pPr>
            <w:r w:rsidRPr="00564DBE">
              <w:t>55%</w:t>
            </w:r>
          </w:p>
        </w:tc>
        <w:tc>
          <w:tcPr>
            <w:tcW w:w="3260" w:type="dxa"/>
          </w:tcPr>
          <w:p w14:paraId="3964F6C5" w14:textId="65358142" w:rsidR="007F7BA5" w:rsidRPr="00564DBE" w:rsidRDefault="007F7BA5" w:rsidP="007F7BA5">
            <w:pPr>
              <w:pStyle w:val="TableBody"/>
            </w:pPr>
            <w:r w:rsidRPr="00564DBE">
              <w:t>Fair Work Commission’s annual wage review</w:t>
            </w:r>
          </w:p>
        </w:tc>
        <w:tc>
          <w:tcPr>
            <w:tcW w:w="3402" w:type="dxa"/>
          </w:tcPr>
          <w:p w14:paraId="715BBCCE" w14:textId="50ACBE8E" w:rsidR="007F7BA5" w:rsidRDefault="007F7BA5" w:rsidP="007F7BA5">
            <w:pPr>
              <w:pStyle w:val="TableBody"/>
            </w:pPr>
            <w:r>
              <w:t>Labour involved in driving a taxi</w:t>
            </w:r>
          </w:p>
        </w:tc>
      </w:tr>
    </w:tbl>
    <w:p w14:paraId="58B05CE4" w14:textId="4CFEF032" w:rsidR="001F11C8" w:rsidRDefault="001F11C8" w:rsidP="001F11C8">
      <w:pPr>
        <w:pStyle w:val="Caption"/>
      </w:pPr>
      <w:r>
        <w:t>Note: The fuel component is a weighted average c</w:t>
      </w:r>
      <w:r w:rsidRPr="007A5CEA">
        <w:t>onsisting of 23</w:t>
      </w:r>
      <w:r w:rsidR="00A5672D">
        <w:t> per cent</w:t>
      </w:r>
      <w:r w:rsidRPr="007A5CEA">
        <w:t xml:space="preserve"> LPG, 68</w:t>
      </w:r>
      <w:r w:rsidR="00A5672D">
        <w:t> per cent</w:t>
      </w:r>
      <w:r w:rsidRPr="007A5CEA">
        <w:t xml:space="preserve"> unleaded petrol and 9</w:t>
      </w:r>
      <w:r w:rsidR="00A5672D">
        <w:t> per cent</w:t>
      </w:r>
      <w:r w:rsidRPr="007A5CEA">
        <w:t xml:space="preserve"> diesel</w:t>
      </w:r>
      <w:r>
        <w:t>.</w:t>
      </w:r>
    </w:p>
    <w:p w14:paraId="08F98574" w14:textId="029FED9D" w:rsidR="001B33F0" w:rsidRPr="001B33F0" w:rsidRDefault="001B33F0" w:rsidP="009D346B">
      <w:r>
        <w:t xml:space="preserve">We are interested in stakeholders’ views on whether </w:t>
      </w:r>
      <w:r w:rsidR="00656B9D">
        <w:t xml:space="preserve">the </w:t>
      </w:r>
      <w:r>
        <w:t xml:space="preserve">cost components and weights in the 2022 taxi cost index </w:t>
      </w:r>
      <w:r w:rsidR="144A4DD2">
        <w:t>remain</w:t>
      </w:r>
      <w:r>
        <w:t xml:space="preserve"> </w:t>
      </w:r>
      <w:r w:rsidR="00934624">
        <w:t xml:space="preserve">an </w:t>
      </w:r>
      <w:r>
        <w:t xml:space="preserve">appropriate </w:t>
      </w:r>
      <w:r w:rsidR="00934624">
        <w:t xml:space="preserve">indicator of the </w:t>
      </w:r>
      <w:r w:rsidR="003C5D65">
        <w:t xml:space="preserve">costs </w:t>
      </w:r>
      <w:r w:rsidR="0E67E990">
        <w:t xml:space="preserve">to </w:t>
      </w:r>
      <w:r w:rsidR="003C5D65">
        <w:t>operat</w:t>
      </w:r>
      <w:r w:rsidR="3CCDA1FB">
        <w:t>e</w:t>
      </w:r>
      <w:r w:rsidR="003C5D65">
        <w:t xml:space="preserve"> </w:t>
      </w:r>
      <w:r w:rsidR="008E36C8">
        <w:t xml:space="preserve">a </w:t>
      </w:r>
      <w:r w:rsidR="003C5D65">
        <w:t>taxi.</w:t>
      </w:r>
      <w:r w:rsidR="00CA05CF">
        <w:t xml:space="preserve"> </w:t>
      </w:r>
    </w:p>
    <w:p w14:paraId="470D8230" w14:textId="77777777" w:rsidR="002737EB" w:rsidRPr="00C343F8" w:rsidRDefault="002737EB" w:rsidP="002737EB">
      <w:pPr>
        <w:pStyle w:val="ListParagraph"/>
        <w:numPr>
          <w:ilvl w:val="2"/>
          <w:numId w:val="8"/>
        </w:num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482" w:right="198"/>
        <w:contextualSpacing w:val="0"/>
      </w:pPr>
      <w:r w:rsidRPr="00C343F8">
        <w:t>Is the cost index we developed during the 2022 review still appropriate?</w:t>
      </w:r>
    </w:p>
    <w:p w14:paraId="397F2C62" w14:textId="725D282F" w:rsidR="003E457B" w:rsidRDefault="003E457B" w:rsidP="003E457B">
      <w:pPr>
        <w:pStyle w:val="Heading3"/>
      </w:pPr>
      <w:bookmarkStart w:id="46" w:name="_Toc148433362"/>
      <w:r>
        <w:t xml:space="preserve">We seek views on whether there have been changes in supply, demand and service </w:t>
      </w:r>
      <w:proofErr w:type="gramStart"/>
      <w:r>
        <w:t>quality</w:t>
      </w:r>
      <w:bookmarkEnd w:id="46"/>
      <w:proofErr w:type="gramEnd"/>
    </w:p>
    <w:p w14:paraId="5ED66FB6" w14:textId="550C1C5E" w:rsidR="003E457B" w:rsidRPr="00FE7E85" w:rsidRDefault="003E457B" w:rsidP="003E457B">
      <w:r>
        <w:t xml:space="preserve">Understanding how the supply of and demand for taxis is changing can provide insight into whether taxi fares are too high or too low. For example, an undersupply of taxis could indicate that fares could be too low. Alternatively, an oversupply of taxis could be an indication that fares are too </w:t>
      </w:r>
      <w:r w:rsidRPr="00FE7E85">
        <w:t xml:space="preserve">high. </w:t>
      </w:r>
    </w:p>
    <w:p w14:paraId="3A185596" w14:textId="2CDFE430" w:rsidR="000B63AF" w:rsidRPr="00B672A2" w:rsidRDefault="000B63AF" w:rsidP="000B63AF">
      <w:r w:rsidRPr="00B672A2">
        <w:t xml:space="preserve">Since our last review, </w:t>
      </w:r>
      <w:r w:rsidR="005027E0" w:rsidRPr="00B672A2">
        <w:t>we are aware of</w:t>
      </w:r>
      <w:r w:rsidRPr="00B672A2">
        <w:t xml:space="preserve"> reports </w:t>
      </w:r>
      <w:r w:rsidR="005027E0" w:rsidRPr="00B672A2">
        <w:t>that some</w:t>
      </w:r>
      <w:r w:rsidRPr="00B672A2">
        <w:t xml:space="preserve"> taxi drivers </w:t>
      </w:r>
      <w:r w:rsidR="005027E0" w:rsidRPr="00B672A2">
        <w:t>hav</w:t>
      </w:r>
      <w:r w:rsidR="00C53252" w:rsidRPr="00B672A2">
        <w:t xml:space="preserve">e </w:t>
      </w:r>
      <w:r w:rsidRPr="00B672A2">
        <w:t>charg</w:t>
      </w:r>
      <w:r w:rsidR="00C53252" w:rsidRPr="00B672A2">
        <w:t>ed</w:t>
      </w:r>
      <w:r w:rsidRPr="00B672A2">
        <w:t xml:space="preserve"> passengers fares </w:t>
      </w:r>
      <w:r w:rsidR="00156DFA" w:rsidRPr="00B672A2">
        <w:t xml:space="preserve">for unbooked services </w:t>
      </w:r>
      <w:r w:rsidRPr="00B672A2">
        <w:t>that were above the maximum amount. This was reported to have occurred at major events, such as the Australian Open.</w:t>
      </w:r>
    </w:p>
    <w:p w14:paraId="52982CCA" w14:textId="3CAB26EE" w:rsidR="000B63AF" w:rsidRDefault="000B63AF" w:rsidP="000B63AF">
      <w:r w:rsidRPr="00B672A2">
        <w:lastRenderedPageBreak/>
        <w:t xml:space="preserve">In response, the </w:t>
      </w:r>
      <w:r w:rsidR="006A6035" w:rsidRPr="00B672A2">
        <w:t>Victorian G</w:t>
      </w:r>
      <w:r w:rsidRPr="00B672A2">
        <w:t>overnment introduced amendments to industry regulations</w:t>
      </w:r>
      <w:r w:rsidR="00C61527" w:rsidRPr="00B672A2">
        <w:t xml:space="preserve"> </w:t>
      </w:r>
      <w:r w:rsidR="004752C3" w:rsidRPr="00B672A2">
        <w:t>to clarify</w:t>
      </w:r>
      <w:r w:rsidR="000F47B4" w:rsidRPr="00B672A2">
        <w:t xml:space="preserve"> that</w:t>
      </w:r>
      <w:r w:rsidRPr="00B672A2">
        <w:t xml:space="preserve"> taxi drivers must use </w:t>
      </w:r>
      <w:r w:rsidR="1DD15A15" w:rsidRPr="00B672A2">
        <w:t xml:space="preserve">the </w:t>
      </w:r>
      <w:r w:rsidR="7E4AE64F" w:rsidRPr="00B672A2">
        <w:t xml:space="preserve">taxi </w:t>
      </w:r>
      <w:r w:rsidRPr="00B672A2">
        <w:t xml:space="preserve">meter for </w:t>
      </w:r>
      <w:r w:rsidR="00E05B37" w:rsidRPr="00B672A2">
        <w:t xml:space="preserve">all </w:t>
      </w:r>
      <w:r w:rsidRPr="00B672A2">
        <w:t>unbooked taxi</w:t>
      </w:r>
      <w:r w:rsidR="003B23BD" w:rsidRPr="00B672A2">
        <w:t xml:space="preserve"> services</w:t>
      </w:r>
      <w:r w:rsidRPr="00B672A2">
        <w:t>.</w:t>
      </w:r>
      <w:r w:rsidRPr="00B672A2">
        <w:rPr>
          <w:rStyle w:val="FootnoteReference"/>
        </w:rPr>
        <w:footnoteReference w:id="15"/>
      </w:r>
      <w:r w:rsidRPr="00B672A2">
        <w:t xml:space="preserve"> </w:t>
      </w:r>
      <w:r w:rsidR="00D533D0" w:rsidRPr="00B672A2">
        <w:t xml:space="preserve">The </w:t>
      </w:r>
      <w:r w:rsidRPr="00B672A2">
        <w:t>amendments came into effect on 28 September 2023.</w:t>
      </w:r>
      <w:r>
        <w:t xml:space="preserve"> </w:t>
      </w:r>
    </w:p>
    <w:p w14:paraId="4B53E301" w14:textId="795B1BB4" w:rsidR="002737EB" w:rsidRPr="002737EB" w:rsidRDefault="003E457B" w:rsidP="002737EB">
      <w:r>
        <w:t xml:space="preserve">We are interested in hearing from stakeholders about any changes in the market for unbooked taxi services since our last review. We are seeking views on service quality, how supply of and demand for taxis has changed and whether demand for unbooked taxi services continues to decline relative to demand for booked services. </w:t>
      </w:r>
    </w:p>
    <w:p w14:paraId="0552CB4F" w14:textId="7AE2960B" w:rsidR="003E457B" w:rsidRPr="00FE7E85" w:rsidRDefault="003E457B" w:rsidP="002737EB">
      <w:pPr>
        <w:pStyle w:val="Pull-outListNumber1"/>
        <w:numPr>
          <w:ilvl w:val="2"/>
          <w:numId w:val="8"/>
        </w:numPr>
        <w:ind w:left="482"/>
      </w:pPr>
      <w:r w:rsidRPr="009848E7">
        <w:t xml:space="preserve">We seek views on how the market for </w:t>
      </w:r>
      <w:r w:rsidR="00C067A4" w:rsidRPr="00B672A2">
        <w:t xml:space="preserve">unbooked </w:t>
      </w:r>
      <w:r w:rsidRPr="00B672A2">
        <w:t>taxi</w:t>
      </w:r>
      <w:r w:rsidRPr="00FE7E85">
        <w:t xml:space="preserve"> services has changed since our </w:t>
      </w:r>
      <w:r w:rsidR="004C5A09" w:rsidRPr="00FE7E85">
        <w:t>2022</w:t>
      </w:r>
      <w:r w:rsidRPr="00FE7E85">
        <w:t xml:space="preserve"> review:</w:t>
      </w:r>
    </w:p>
    <w:p w14:paraId="544E4401" w14:textId="0E09C637" w:rsidR="003E457B" w:rsidRDefault="003E457B" w:rsidP="0046094C">
      <w:pPr>
        <w:pStyle w:val="Pull-outListNumber2"/>
        <w:numPr>
          <w:ilvl w:val="3"/>
          <w:numId w:val="8"/>
        </w:numPr>
        <w:ind w:left="765"/>
      </w:pPr>
      <w:r w:rsidRPr="00FE7E85">
        <w:t xml:space="preserve">How has the demand for and supply of </w:t>
      </w:r>
      <w:r w:rsidR="00C067A4" w:rsidRPr="00B672A2">
        <w:t xml:space="preserve">unbooked </w:t>
      </w:r>
      <w:r w:rsidRPr="00B672A2">
        <w:t>taxi</w:t>
      </w:r>
      <w:r w:rsidRPr="00FE7E85">
        <w:t xml:space="preserve"> services</w:t>
      </w:r>
      <w:r>
        <w:t xml:space="preserve"> changed? </w:t>
      </w:r>
    </w:p>
    <w:p w14:paraId="5993BDF1" w14:textId="77777777" w:rsidR="003E457B" w:rsidRDefault="003E457B" w:rsidP="0046094C">
      <w:pPr>
        <w:pStyle w:val="Pull-outListNumber2"/>
        <w:numPr>
          <w:ilvl w:val="3"/>
          <w:numId w:val="8"/>
        </w:numPr>
        <w:ind w:left="765"/>
      </w:pPr>
      <w:r>
        <w:t xml:space="preserve">Does the use of unbooked taxi services continue to decline relative to booked services? </w:t>
      </w:r>
    </w:p>
    <w:p w14:paraId="13EAAFC1" w14:textId="77777777" w:rsidR="003E457B" w:rsidRDefault="003E457B" w:rsidP="0046094C">
      <w:pPr>
        <w:pStyle w:val="Pull-outListNumber2"/>
        <w:numPr>
          <w:ilvl w:val="3"/>
          <w:numId w:val="8"/>
        </w:numPr>
        <w:ind w:left="765"/>
      </w:pPr>
      <w:r>
        <w:t xml:space="preserve">Have there been any observable changes to service quality? </w:t>
      </w:r>
    </w:p>
    <w:p w14:paraId="573DA092" w14:textId="40237D25" w:rsidR="00865ECE" w:rsidRDefault="00EC4AEB" w:rsidP="001F11C8">
      <w:pPr>
        <w:pStyle w:val="Heading2"/>
      </w:pPr>
      <w:bookmarkStart w:id="47" w:name="_Toc148433363"/>
      <w:r>
        <w:t xml:space="preserve">We seek views on the </w:t>
      </w:r>
      <w:r w:rsidR="005744DF">
        <w:t xml:space="preserve">current </w:t>
      </w:r>
      <w:r>
        <w:t xml:space="preserve">fare adjustment </w:t>
      </w:r>
      <w:proofErr w:type="gramStart"/>
      <w:r>
        <w:t>mechanism</w:t>
      </w:r>
      <w:bookmarkEnd w:id="47"/>
      <w:proofErr w:type="gramEnd"/>
    </w:p>
    <w:p w14:paraId="0633D047" w14:textId="77BE94DC" w:rsidR="00820C04" w:rsidRDefault="000B4289" w:rsidP="001F11C8">
      <w:pPr>
        <w:keepNext/>
        <w:keepLines/>
      </w:pPr>
      <w:r>
        <w:t xml:space="preserve">In our 2022 unbooked taxi fare review, we decided to introduce a fare adjustment mechanism for the 2022–24 regulatory period. The purpose of the mechanism was </w:t>
      </w:r>
      <w:r w:rsidR="005C4352">
        <w:t xml:space="preserve">to automatically increase or decrease </w:t>
      </w:r>
      <w:r>
        <w:t xml:space="preserve">maximum fares </w:t>
      </w:r>
      <w:r w:rsidR="005C4352">
        <w:t>without the need to undertake a review and make a new price determination.</w:t>
      </w:r>
      <w:r w:rsidR="00B275B9">
        <w:rPr>
          <w:rStyle w:val="FootnoteReference"/>
        </w:rPr>
        <w:footnoteReference w:id="16"/>
      </w:r>
      <w:r w:rsidR="005C4352">
        <w:t xml:space="preserve"> </w:t>
      </w:r>
    </w:p>
    <w:p w14:paraId="0FBFD847" w14:textId="712E8554" w:rsidR="0021051E" w:rsidRDefault="003000E7" w:rsidP="009D346B">
      <w:r>
        <w:t xml:space="preserve">The </w:t>
      </w:r>
      <w:r w:rsidR="008D0FB9">
        <w:t xml:space="preserve">2022 </w:t>
      </w:r>
      <w:r>
        <w:t xml:space="preserve">determination </w:t>
      </w:r>
      <w:r w:rsidR="00D86F72">
        <w:t>set</w:t>
      </w:r>
      <w:r>
        <w:t>s</w:t>
      </w:r>
      <w:r w:rsidR="00D86F72">
        <w:t xml:space="preserve"> out the</w:t>
      </w:r>
      <w:r w:rsidR="000756B5">
        <w:t xml:space="preserve"> fare adjustment mechanism’s </w:t>
      </w:r>
      <w:r w:rsidR="005C4352">
        <w:t>formula</w:t>
      </w:r>
      <w:r w:rsidR="0021051E">
        <w:t xml:space="preserve">, </w:t>
      </w:r>
      <w:proofErr w:type="gramStart"/>
      <w:r w:rsidR="00820C04">
        <w:t>timing</w:t>
      </w:r>
      <w:proofErr w:type="gramEnd"/>
      <w:r w:rsidR="00820C04">
        <w:t xml:space="preserve"> </w:t>
      </w:r>
      <w:r w:rsidR="0021051E">
        <w:t>and conditions</w:t>
      </w:r>
      <w:r w:rsidR="00820C04">
        <w:t>.</w:t>
      </w:r>
      <w:r w:rsidR="00811770">
        <w:rPr>
          <w:rStyle w:val="FootnoteReference"/>
        </w:rPr>
        <w:footnoteReference w:id="17"/>
      </w:r>
      <w:r w:rsidR="00820C04">
        <w:t xml:space="preserve"> Notably:</w:t>
      </w:r>
      <w:r w:rsidR="0021051E">
        <w:t xml:space="preserve"> </w:t>
      </w:r>
    </w:p>
    <w:p w14:paraId="11B90B41" w14:textId="32B01677" w:rsidR="0021051E" w:rsidRDefault="0021051E" w:rsidP="00843E90">
      <w:pPr>
        <w:pStyle w:val="ListBullet"/>
      </w:pPr>
      <w:r>
        <w:t xml:space="preserve">The formula is based on our taxi cost index and applies to both conventional and high occupancy fees and charges. </w:t>
      </w:r>
      <w:r w:rsidR="008C1C85">
        <w:t>O</w:t>
      </w:r>
      <w:r w:rsidR="005B0301">
        <w:t xml:space="preserve">nly </w:t>
      </w:r>
      <w:r w:rsidR="00106310">
        <w:t>changes in</w:t>
      </w:r>
      <w:r w:rsidR="005B0301">
        <w:t xml:space="preserve"> the fuel and labour cost components of </w:t>
      </w:r>
      <w:r w:rsidR="00667D8E">
        <w:t xml:space="preserve">our </w:t>
      </w:r>
      <w:r w:rsidR="005B0301">
        <w:t xml:space="preserve">taxi </w:t>
      </w:r>
      <w:r w:rsidR="00667D8E">
        <w:t xml:space="preserve">cost </w:t>
      </w:r>
      <w:r w:rsidR="005B0301">
        <w:t xml:space="preserve">index </w:t>
      </w:r>
      <w:r w:rsidR="00667D8E">
        <w:t xml:space="preserve">are accounted for in the formula, </w:t>
      </w:r>
      <w:r w:rsidR="005B0301">
        <w:t>with all other components set to 0</w:t>
      </w:r>
      <w:r w:rsidR="00A5672D">
        <w:t> per cent</w:t>
      </w:r>
      <w:r w:rsidR="005B0301">
        <w:t>.</w:t>
      </w:r>
      <w:r w:rsidR="004A7667">
        <w:rPr>
          <w:rStyle w:val="FootnoteReference"/>
        </w:rPr>
        <w:footnoteReference w:id="18"/>
      </w:r>
      <w:r w:rsidR="005B0301">
        <w:t xml:space="preserve"> </w:t>
      </w:r>
    </w:p>
    <w:p w14:paraId="293521A0" w14:textId="39E7DAA0" w:rsidR="0021051E" w:rsidRDefault="00667D8E" w:rsidP="00843E90">
      <w:pPr>
        <w:pStyle w:val="ListBullet"/>
      </w:pPr>
      <w:r>
        <w:t>An</w:t>
      </w:r>
      <w:r w:rsidR="0021051E">
        <w:t xml:space="preserve"> adjustment </w:t>
      </w:r>
      <w:r w:rsidR="00811214">
        <w:t xml:space="preserve">in 2023 was </w:t>
      </w:r>
      <w:r w:rsidR="0021051E">
        <w:t>only triggered if the formula result</w:t>
      </w:r>
      <w:r w:rsidR="00811214">
        <w:t>ed</w:t>
      </w:r>
      <w:r w:rsidR="0021051E">
        <w:t xml:space="preserve"> in maximum fares increasing or decreasing by more than </w:t>
      </w:r>
      <w:r w:rsidR="00127AB8">
        <w:t>1</w:t>
      </w:r>
      <w:r w:rsidR="00A5672D">
        <w:t> per cent</w:t>
      </w:r>
      <w:r w:rsidR="0021051E">
        <w:t>.</w:t>
      </w:r>
    </w:p>
    <w:p w14:paraId="10AF5763" w14:textId="41492BC3" w:rsidR="009856C2" w:rsidRDefault="00BB63AD" w:rsidP="00843E90">
      <w:pPr>
        <w:pStyle w:val="ListBullet"/>
      </w:pPr>
      <w:r>
        <w:lastRenderedPageBreak/>
        <w:t xml:space="preserve">If triggered, </w:t>
      </w:r>
      <w:r w:rsidR="00C019A9">
        <w:t>w</w:t>
      </w:r>
      <w:r w:rsidR="007210FE">
        <w:t>e were required to</w:t>
      </w:r>
      <w:r w:rsidR="00F73A2B">
        <w:t xml:space="preserve"> publish an assessment </w:t>
      </w:r>
      <w:r w:rsidR="00A16B70">
        <w:t xml:space="preserve">of </w:t>
      </w:r>
      <w:r w:rsidR="00F73A2B">
        <w:t xml:space="preserve">the fare adjust mechanism </w:t>
      </w:r>
      <w:r w:rsidR="0023702F">
        <w:t xml:space="preserve">one year after the completion of our </w:t>
      </w:r>
      <w:r w:rsidR="007210FE">
        <w:t xml:space="preserve">2022 </w:t>
      </w:r>
      <w:r w:rsidR="0023702F">
        <w:t xml:space="preserve">review. The </w:t>
      </w:r>
      <w:r w:rsidR="00D5410C">
        <w:t xml:space="preserve">revised </w:t>
      </w:r>
      <w:r w:rsidR="0023702F">
        <w:t>fares would</w:t>
      </w:r>
      <w:r w:rsidR="00A16B70">
        <w:t xml:space="preserve"> come</w:t>
      </w:r>
      <w:r w:rsidR="0023702F">
        <w:t xml:space="preserve"> </w:t>
      </w:r>
      <w:r>
        <w:t xml:space="preserve">into effect </w:t>
      </w:r>
      <w:r w:rsidR="0023702F">
        <w:t>one month later, t</w:t>
      </w:r>
      <w:r w:rsidR="00843E90">
        <w:t>o ensure that the industry ha</w:t>
      </w:r>
      <w:r w:rsidR="00D5410C">
        <w:t>d</w:t>
      </w:r>
      <w:r w:rsidR="00843E90">
        <w:t xml:space="preserve"> enough time to update fare stickers and taximeters</w:t>
      </w:r>
      <w:r w:rsidR="0023702F">
        <w:t>.</w:t>
      </w:r>
    </w:p>
    <w:p w14:paraId="11106B0A" w14:textId="36F4F102" w:rsidR="66E5B8B3" w:rsidRDefault="0097700C">
      <w:r>
        <w:t xml:space="preserve">We published our assessment of the fare adjustment </w:t>
      </w:r>
      <w:r w:rsidR="00515487">
        <w:t>o</w:t>
      </w:r>
      <w:r>
        <w:t xml:space="preserve">n </w:t>
      </w:r>
      <w:r w:rsidR="00515487">
        <w:t>24 August 2023</w:t>
      </w:r>
      <w:r>
        <w:t>. It resulted in a 4.1</w:t>
      </w:r>
      <w:r w:rsidR="00A5672D">
        <w:t> per cent</w:t>
      </w:r>
      <w:r>
        <w:t xml:space="preserve"> increase in unbooked taxi fares</w:t>
      </w:r>
      <w:r w:rsidR="006A6A92">
        <w:t xml:space="preserve"> on 1 October 2023</w:t>
      </w:r>
      <w:r>
        <w:t>.</w:t>
      </w:r>
      <w:r w:rsidR="006A6A92">
        <w:rPr>
          <w:rStyle w:val="FootnoteReference"/>
        </w:rPr>
        <w:footnoteReference w:id="19"/>
      </w:r>
      <w:r w:rsidR="00387EED" w:rsidDel="00387EED">
        <w:t xml:space="preserve"> </w:t>
      </w:r>
    </w:p>
    <w:p w14:paraId="3D5D8999" w14:textId="5E259C96" w:rsidR="005C4352" w:rsidRPr="005C4352" w:rsidRDefault="00630A43" w:rsidP="009D346B">
      <w:r>
        <w:t>W</w:t>
      </w:r>
      <w:r w:rsidR="006D370E">
        <w:t xml:space="preserve">e </w:t>
      </w:r>
      <w:r>
        <w:t xml:space="preserve">are </w:t>
      </w:r>
      <w:r w:rsidR="006D370E">
        <w:t>propos</w:t>
      </w:r>
      <w:r>
        <w:t>ing</w:t>
      </w:r>
      <w:r w:rsidR="006D370E">
        <w:t xml:space="preserve"> to </w:t>
      </w:r>
      <w:r w:rsidR="0015492F">
        <w:t>retain</w:t>
      </w:r>
      <w:r w:rsidR="00DF7570">
        <w:t xml:space="preserve"> a</w:t>
      </w:r>
      <w:r w:rsidR="00330484">
        <w:t>n</w:t>
      </w:r>
      <w:r w:rsidR="00DF7570">
        <w:t xml:space="preserve"> adjustment mechanism that will index fares in 2025</w:t>
      </w:r>
      <w:r w:rsidR="009A3FD7">
        <w:t>.</w:t>
      </w:r>
      <w:r w:rsidR="005C4352">
        <w:t xml:space="preserve"> </w:t>
      </w:r>
      <w:r w:rsidR="009A3FD7">
        <w:t>W</w:t>
      </w:r>
      <w:r w:rsidR="005C4352">
        <w:t>e seek view</w:t>
      </w:r>
      <w:r w:rsidR="00515487">
        <w:t>s</w:t>
      </w:r>
      <w:r w:rsidR="005C4352">
        <w:t xml:space="preserve"> on</w:t>
      </w:r>
      <w:r w:rsidR="00115331">
        <w:t xml:space="preserve"> </w:t>
      </w:r>
      <w:r w:rsidR="0083138B">
        <w:t xml:space="preserve">whether </w:t>
      </w:r>
      <w:r w:rsidR="003A2CCD">
        <w:t xml:space="preserve">the mechanism should </w:t>
      </w:r>
      <w:r w:rsidR="00561E51">
        <w:t>be limited to</w:t>
      </w:r>
      <w:r w:rsidR="0083138B">
        <w:t xml:space="preserve"> </w:t>
      </w:r>
      <w:r w:rsidR="00891E9D">
        <w:t xml:space="preserve">fuel and labour costs, or if it should </w:t>
      </w:r>
      <w:r w:rsidR="0083558A">
        <w:t>expand to</w:t>
      </w:r>
      <w:r w:rsidR="00891E9D">
        <w:t xml:space="preserve"> </w:t>
      </w:r>
      <w:r w:rsidR="00E22588">
        <w:t xml:space="preserve">include </w:t>
      </w:r>
      <w:r w:rsidR="00561E51">
        <w:t xml:space="preserve">other </w:t>
      </w:r>
      <w:r w:rsidR="00E22588">
        <w:t>components of the cost index</w:t>
      </w:r>
      <w:r w:rsidR="005C4352">
        <w:t>.</w:t>
      </w:r>
    </w:p>
    <w:p w14:paraId="7CC5AC1B" w14:textId="6914D9F9" w:rsidR="00B94022" w:rsidRPr="00B94022" w:rsidRDefault="6F7165D6" w:rsidP="002737EB">
      <w:pPr>
        <w:pStyle w:val="Pull-outListNumber1"/>
        <w:numPr>
          <w:ilvl w:val="0"/>
          <w:numId w:val="52"/>
        </w:numPr>
        <w:ind w:left="555" w:hanging="357"/>
      </w:pPr>
      <w:r>
        <w:t xml:space="preserve">Should </w:t>
      </w:r>
      <w:r w:rsidR="001F2345">
        <w:t>the fare adjustment mechanism</w:t>
      </w:r>
      <w:r>
        <w:t xml:space="preserve"> encompass the entire </w:t>
      </w:r>
      <w:r w:rsidR="00CF44A6">
        <w:t xml:space="preserve">cost </w:t>
      </w:r>
      <w:r>
        <w:t xml:space="preserve">index or only fuel and labour? </w:t>
      </w:r>
    </w:p>
    <w:p w14:paraId="413BCA03" w14:textId="73432FA1" w:rsidR="00F61F81" w:rsidRDefault="00CC72DA" w:rsidP="00F61F81">
      <w:pPr>
        <w:pStyle w:val="Heading2"/>
      </w:pPr>
      <w:bookmarkStart w:id="48" w:name="_Toc148433364"/>
      <w:r>
        <w:t xml:space="preserve">We </w:t>
      </w:r>
      <w:r w:rsidR="00183205">
        <w:t>are not proposing to change</w:t>
      </w:r>
      <w:r w:rsidR="00743738">
        <w:t xml:space="preserve"> fare </w:t>
      </w:r>
      <w:proofErr w:type="gramStart"/>
      <w:r w:rsidR="00743738">
        <w:t>structure</w:t>
      </w:r>
      <w:r w:rsidR="00974799">
        <w:t>s</w:t>
      </w:r>
      <w:bookmarkEnd w:id="48"/>
      <w:proofErr w:type="gramEnd"/>
      <w:r w:rsidR="00743738">
        <w:t xml:space="preserve"> </w:t>
      </w:r>
    </w:p>
    <w:p w14:paraId="65383AD5" w14:textId="2987243C" w:rsidR="00F61BE9" w:rsidRDefault="00BD4ED7" w:rsidP="00F61BE9">
      <w:r>
        <w:t xml:space="preserve">We currently set two </w:t>
      </w:r>
      <w:r w:rsidR="009976FD">
        <w:t>group</w:t>
      </w:r>
      <w:r>
        <w:t xml:space="preserve">s of unbooked taxi fares – fares for the Melbourne </w:t>
      </w:r>
      <w:r w:rsidR="008329B3">
        <w:t>Metropolitan</w:t>
      </w:r>
      <w:r>
        <w:t xml:space="preserve"> and east urban areas (Melbourne,</w:t>
      </w:r>
      <w:r w:rsidR="00642E48">
        <w:t xml:space="preserve"> </w:t>
      </w:r>
      <w:r w:rsidR="00F36E6D">
        <w:t xml:space="preserve">Dandenong, </w:t>
      </w:r>
      <w:proofErr w:type="gramStart"/>
      <w:r w:rsidR="00642E48">
        <w:t>Frankston</w:t>
      </w:r>
      <w:proofErr w:type="gramEnd"/>
      <w:r w:rsidR="00F36E6D">
        <w:t xml:space="preserve"> and </w:t>
      </w:r>
      <w:r w:rsidR="00642E48">
        <w:t>Mornington Peninsula</w:t>
      </w:r>
      <w:r w:rsidR="00F36E6D">
        <w:t>), and fares for the</w:t>
      </w:r>
      <w:r w:rsidR="00F82F12">
        <w:t xml:space="preserve"> large regional areas (</w:t>
      </w:r>
      <w:r w:rsidR="008329B3">
        <w:t xml:space="preserve">Geelong, Ballarat and Bendigo). For </w:t>
      </w:r>
      <w:r w:rsidR="00EB4C99">
        <w:t>both</w:t>
      </w:r>
      <w:r w:rsidR="008329B3">
        <w:t xml:space="preserve">, </w:t>
      </w:r>
      <w:r w:rsidR="00D809DD">
        <w:t xml:space="preserve">the determination </w:t>
      </w:r>
      <w:r w:rsidR="008329B3">
        <w:t>provide</w:t>
      </w:r>
      <w:r w:rsidR="00D809DD">
        <w:t>s</w:t>
      </w:r>
      <w:r w:rsidR="008329B3">
        <w:t xml:space="preserve"> two options</w:t>
      </w:r>
      <w:r w:rsidR="00D809DD">
        <w:t xml:space="preserve"> for calculating </w:t>
      </w:r>
      <w:r w:rsidR="000E6188">
        <w:t>maximum fares</w:t>
      </w:r>
      <w:r w:rsidR="008329B3">
        <w:t>:</w:t>
      </w:r>
    </w:p>
    <w:p w14:paraId="3935E3F5" w14:textId="3F6DCD18" w:rsidR="00F61BE9" w:rsidRDefault="00F61BE9" w:rsidP="009F17D3">
      <w:pPr>
        <w:pStyle w:val="ListBullet"/>
      </w:pPr>
      <w:r w:rsidRPr="00085D4E">
        <w:rPr>
          <w:b/>
          <w:bCs/>
        </w:rPr>
        <w:t>Time and distance tariffs</w:t>
      </w:r>
      <w:r>
        <w:t xml:space="preserve"> </w:t>
      </w:r>
      <w:r w:rsidR="00AD7FEA">
        <w:t xml:space="preserve">— </w:t>
      </w:r>
      <w:r>
        <w:t xml:space="preserve">where the fare is calculated as </w:t>
      </w:r>
      <w:proofErr w:type="spellStart"/>
      <w:r w:rsidR="002D3D35">
        <w:t>flagfall</w:t>
      </w:r>
      <w:proofErr w:type="spellEnd"/>
      <w:r w:rsidR="002D3D35">
        <w:t xml:space="preserve"> + </w:t>
      </w:r>
      <w:r>
        <w:t>(kilometres travelled x distance rate) + (duration of trip in hours x hourly rate)</w:t>
      </w:r>
    </w:p>
    <w:p w14:paraId="6376FB07" w14:textId="61E4A862" w:rsidR="00F61BE9" w:rsidRDefault="00E77423">
      <w:pPr>
        <w:pStyle w:val="ListBullet"/>
      </w:pPr>
      <w:r w:rsidRPr="009D346B">
        <w:rPr>
          <w:b/>
        </w:rPr>
        <w:t>T</w:t>
      </w:r>
      <w:r w:rsidR="00F61BE9" w:rsidRPr="00085D4E">
        <w:rPr>
          <w:b/>
          <w:bCs/>
        </w:rPr>
        <w:t>ime or distance tariffs</w:t>
      </w:r>
      <w:r w:rsidR="00F61BE9">
        <w:t xml:space="preserve"> </w:t>
      </w:r>
      <w:r w:rsidR="00AD7FEA">
        <w:t xml:space="preserve">— </w:t>
      </w:r>
      <w:r w:rsidR="00F61BE9">
        <w:t xml:space="preserve">where the fare is calculated as </w:t>
      </w:r>
      <w:proofErr w:type="spellStart"/>
      <w:r w:rsidR="002D3D35">
        <w:t>flagfall</w:t>
      </w:r>
      <w:proofErr w:type="spellEnd"/>
      <w:r w:rsidR="002D3D35">
        <w:t xml:space="preserve"> + </w:t>
      </w:r>
      <w:r w:rsidR="00F61BE9">
        <w:t>(kilometres travelled at speed above 21 kilometres per hour x distance rate) + (hours spent at speed below 21</w:t>
      </w:r>
      <w:r w:rsidR="00FC0C9E">
        <w:t> </w:t>
      </w:r>
      <w:r w:rsidR="00F61BE9">
        <w:t xml:space="preserve">kilometres </w:t>
      </w:r>
      <w:r w:rsidR="00FC0C9E">
        <w:t xml:space="preserve">per hour </w:t>
      </w:r>
      <w:r w:rsidR="00F61BE9">
        <w:t>x hourly rate)</w:t>
      </w:r>
    </w:p>
    <w:p w14:paraId="1BD375C2" w14:textId="3BA3B558" w:rsidR="00E2095A" w:rsidRDefault="00D152D1" w:rsidP="00CB4F0A">
      <w:r>
        <w:t>The determination also sets out some other fees</w:t>
      </w:r>
      <w:r w:rsidR="00812468">
        <w:t xml:space="preserve"> and charges</w:t>
      </w:r>
      <w:r>
        <w:t xml:space="preserve">, such </w:t>
      </w:r>
      <w:r w:rsidR="00B77EE8">
        <w:t xml:space="preserve">as </w:t>
      </w:r>
      <w:r>
        <w:t xml:space="preserve">holiday fees, </w:t>
      </w:r>
      <w:r w:rsidR="00AA1E62">
        <w:t xml:space="preserve">overnight and peak fees or rates, </w:t>
      </w:r>
      <w:r w:rsidR="00E6498E">
        <w:t xml:space="preserve">high occupancy fees and charges, and cleaning fees. </w:t>
      </w:r>
      <w:r w:rsidR="00516E91">
        <w:t xml:space="preserve">We do not set </w:t>
      </w:r>
      <w:r w:rsidR="008F7DE2">
        <w:t xml:space="preserve">toll fees, </w:t>
      </w:r>
      <w:r w:rsidR="00B66180">
        <w:t xml:space="preserve">the </w:t>
      </w:r>
      <w:r w:rsidR="008F7DE2">
        <w:t xml:space="preserve">airport taxi rank </w:t>
      </w:r>
      <w:proofErr w:type="gramStart"/>
      <w:r w:rsidR="008F7DE2">
        <w:t>fee</w:t>
      </w:r>
      <w:proofErr w:type="gramEnd"/>
      <w:r w:rsidR="007E4C5D">
        <w:t xml:space="preserve"> or the </w:t>
      </w:r>
      <w:r w:rsidR="006F60A9">
        <w:t>commercial passenger vehicle levy recovery fee.</w:t>
      </w:r>
    </w:p>
    <w:p w14:paraId="7CEAC760" w14:textId="77777777" w:rsidR="004D5E29" w:rsidRDefault="007C0EEF" w:rsidP="000F0D31">
      <w:pPr>
        <w:sectPr w:rsidR="004D5E29" w:rsidSect="00E81B5C">
          <w:footerReference w:type="default" r:id="rId24"/>
          <w:pgSz w:w="11906" w:h="16838" w:code="9"/>
          <w:pgMar w:top="1134" w:right="1134" w:bottom="1134" w:left="1134" w:header="709" w:footer="692" w:gutter="0"/>
          <w:cols w:space="708"/>
          <w:docGrid w:linePitch="360"/>
        </w:sectPr>
      </w:pPr>
      <w:r>
        <w:t>We are proposing to keep fare structure</w:t>
      </w:r>
      <w:r w:rsidR="003E3D95">
        <w:t>s</w:t>
      </w:r>
      <w:r>
        <w:t xml:space="preserve"> unchanged.</w:t>
      </w:r>
      <w:r w:rsidR="00E6498E">
        <w:t xml:space="preserve"> </w:t>
      </w:r>
    </w:p>
    <w:p w14:paraId="54DE133A" w14:textId="0208B477" w:rsidR="00392A26" w:rsidRDefault="009E228B" w:rsidP="00A42AC9">
      <w:pPr>
        <w:pStyle w:val="Heading1"/>
      </w:pPr>
      <w:bookmarkStart w:id="49" w:name="_Toc148433365"/>
      <w:r>
        <w:lastRenderedPageBreak/>
        <w:t xml:space="preserve">We seek views on </w:t>
      </w:r>
      <w:r w:rsidR="00E5285F">
        <w:t>non-cash payment</w:t>
      </w:r>
      <w:r w:rsidR="00392A26">
        <w:t xml:space="preserve"> </w:t>
      </w:r>
      <w:proofErr w:type="gramStart"/>
      <w:r w:rsidR="00392A26">
        <w:t>surcharges</w:t>
      </w:r>
      <w:bookmarkEnd w:id="49"/>
      <w:proofErr w:type="gramEnd"/>
    </w:p>
    <w:p w14:paraId="2DFEFE5C" w14:textId="6A8BE09D" w:rsidR="00B62DFD" w:rsidRDefault="001D2BE7" w:rsidP="00B62DFD">
      <w:pPr>
        <w:pStyle w:val="Heading2"/>
      </w:pPr>
      <w:bookmarkStart w:id="50" w:name="_Toc148433366"/>
      <w:r>
        <w:t>We</w:t>
      </w:r>
      <w:r w:rsidR="00B62DFD">
        <w:t xml:space="preserve"> set </w:t>
      </w:r>
      <w:r w:rsidR="00D25B28">
        <w:t xml:space="preserve">the </w:t>
      </w:r>
      <w:r w:rsidR="00B62DFD">
        <w:t xml:space="preserve">maximum non-cash payment surcharges </w:t>
      </w:r>
      <w:r w:rsidR="00D25B28">
        <w:t>for taxi</w:t>
      </w:r>
      <w:r w:rsidR="00CB3D7F">
        <w:t xml:space="preserve"> </w:t>
      </w:r>
      <w:proofErr w:type="gramStart"/>
      <w:r w:rsidR="00CB3D7F">
        <w:t>services</w:t>
      </w:r>
      <w:bookmarkEnd w:id="50"/>
      <w:proofErr w:type="gramEnd"/>
    </w:p>
    <w:p w14:paraId="69E29CD0" w14:textId="37F3115B" w:rsidR="00460D9E" w:rsidRDefault="00B62DFD" w:rsidP="00B62DFD">
      <w:r>
        <w:t xml:space="preserve">Our role is to review and determine the maximum non-cash payment surcharges applied to </w:t>
      </w:r>
      <w:r w:rsidR="00A07499">
        <w:t xml:space="preserve">all </w:t>
      </w:r>
      <w:r>
        <w:t>taxi services in Victoria</w:t>
      </w:r>
      <w:r w:rsidR="006C5B70">
        <w:t xml:space="preserve"> (booked and unbooked)</w:t>
      </w:r>
      <w:r>
        <w:t>.</w:t>
      </w:r>
      <w:r w:rsidR="00C114C3">
        <w:t xml:space="preserve"> </w:t>
      </w:r>
      <w:r w:rsidR="00780F0E">
        <w:t xml:space="preserve">Non-cash payment surcharges are fees charged to taxi </w:t>
      </w:r>
      <w:r w:rsidR="005A5C24">
        <w:t>passengers for paying by any method other than cash.</w:t>
      </w:r>
    </w:p>
    <w:p w14:paraId="31949077" w14:textId="38311495" w:rsidR="00460D9E" w:rsidRDefault="00CF1DAC" w:rsidP="00B62DFD">
      <w:r>
        <w:t xml:space="preserve">This includes standard non-cash payment methods, such as </w:t>
      </w:r>
      <w:r w:rsidR="00460D9E">
        <w:t xml:space="preserve">payments made with </w:t>
      </w:r>
      <w:r w:rsidR="00564300">
        <w:t xml:space="preserve">credit and debit </w:t>
      </w:r>
      <w:r w:rsidR="00460D9E">
        <w:t xml:space="preserve">cards, </w:t>
      </w:r>
      <w:proofErr w:type="gramStart"/>
      <w:r w:rsidR="006E03B5">
        <w:t>and</w:t>
      </w:r>
      <w:r w:rsidR="00460D9E">
        <w:t xml:space="preserve"> also</w:t>
      </w:r>
      <w:proofErr w:type="gramEnd"/>
      <w:r w:rsidR="00460D9E">
        <w:t xml:space="preserve"> taxi specific payment methods, such as </w:t>
      </w:r>
      <w:proofErr w:type="spellStart"/>
      <w:r w:rsidR="00460D9E">
        <w:t>Cabcharge</w:t>
      </w:r>
      <w:proofErr w:type="spellEnd"/>
      <w:r w:rsidR="00460D9E">
        <w:t xml:space="preserve">. </w:t>
      </w:r>
    </w:p>
    <w:p w14:paraId="2D03427B" w14:textId="72836E18" w:rsidR="005A5C24" w:rsidRDefault="00460D9E" w:rsidP="00B62DFD">
      <w:r>
        <w:t>The surcharge</w:t>
      </w:r>
      <w:r w:rsidR="007240B4">
        <w:t xml:space="preserve"> is a percentage amount added to </w:t>
      </w:r>
      <w:r w:rsidR="005A5C24">
        <w:t>the standard taxi fare.</w:t>
      </w:r>
      <w:r w:rsidR="007240B4">
        <w:rPr>
          <w:rStyle w:val="FootnoteReference"/>
        </w:rPr>
        <w:footnoteReference w:id="20"/>
      </w:r>
    </w:p>
    <w:p w14:paraId="2A70D615" w14:textId="3E73127A" w:rsidR="00B62DFD" w:rsidRDefault="00B62DFD" w:rsidP="00931E9D">
      <w:r>
        <w:t xml:space="preserve">In </w:t>
      </w:r>
      <w:r w:rsidR="00FD1931">
        <w:t>undertaking this role</w:t>
      </w:r>
      <w:r>
        <w:t>, our objective</w:t>
      </w:r>
      <w:r w:rsidR="00833A2E">
        <w:t>s</w:t>
      </w:r>
      <w:r w:rsidR="009F1E11">
        <w:t xml:space="preserve"> </w:t>
      </w:r>
      <w:r w:rsidR="00784073">
        <w:t xml:space="preserve">include promoting the long-term interests of Victorian consumers and efficiency in the </w:t>
      </w:r>
      <w:r w:rsidR="00F75FF4">
        <w:t xml:space="preserve">non-cash payment </w:t>
      </w:r>
      <w:r w:rsidR="00453F03">
        <w:t>industry.</w:t>
      </w:r>
      <w:r w:rsidR="00453F03">
        <w:rPr>
          <w:rStyle w:val="FootnoteReference"/>
        </w:rPr>
        <w:footnoteReference w:id="21"/>
      </w:r>
      <w:r w:rsidR="00453F03">
        <w:t xml:space="preserve"> We </w:t>
      </w:r>
      <w:r w:rsidR="00E20D71">
        <w:t xml:space="preserve">must </w:t>
      </w:r>
      <w:r w:rsidR="00453F03">
        <w:t xml:space="preserve">also </w:t>
      </w:r>
      <w:r w:rsidR="00E20D71">
        <w:t xml:space="preserve">ensure that </w:t>
      </w:r>
      <w:r w:rsidR="006B2E76">
        <w:t>those</w:t>
      </w:r>
      <w:r w:rsidR="004A02E0">
        <w:t xml:space="preserve"> </w:t>
      </w:r>
      <w:r w:rsidR="00C45ED5">
        <w:t>who facilitate</w:t>
      </w:r>
      <w:r w:rsidR="0059340D">
        <w:t xml:space="preserve"> non-cash payment transactions</w:t>
      </w:r>
      <w:r w:rsidR="00E20D71">
        <w:t xml:space="preserve"> are able to recover the </w:t>
      </w:r>
      <w:r w:rsidR="00B903E2">
        <w:t>reasonable</w:t>
      </w:r>
      <w:r w:rsidR="00E20D71">
        <w:t xml:space="preserve"> cost of accepting and processing </w:t>
      </w:r>
      <w:r w:rsidR="001D53AC">
        <w:t>these</w:t>
      </w:r>
      <w:r w:rsidR="00E20D71">
        <w:t xml:space="preserve"> transactions.</w:t>
      </w:r>
      <w:r w:rsidR="00993814">
        <w:rPr>
          <w:rStyle w:val="FootnoteReference"/>
        </w:rPr>
        <w:footnoteReference w:id="22"/>
      </w:r>
      <w:r>
        <w:t xml:space="preserve">  </w:t>
      </w:r>
    </w:p>
    <w:p w14:paraId="4BCFECD4" w14:textId="4D504B8B" w:rsidR="00431486" w:rsidRDefault="00D75E72" w:rsidP="00431486">
      <w:r>
        <w:t xml:space="preserve">Appendix A outlines the </w:t>
      </w:r>
      <w:r w:rsidR="00431486">
        <w:t>legal framework for setting maximum non-cash payment surcharges</w:t>
      </w:r>
      <w:r w:rsidR="00DF0D7C">
        <w:t>.</w:t>
      </w:r>
    </w:p>
    <w:p w14:paraId="45D1A21E" w14:textId="1121769C" w:rsidR="00B62DFD" w:rsidRDefault="00FE1933" w:rsidP="00B62DFD">
      <w:pPr>
        <w:pStyle w:val="Heading3"/>
      </w:pPr>
      <w:bookmarkStart w:id="51" w:name="_Toc146635478"/>
      <w:bookmarkStart w:id="52" w:name="_Toc147745797"/>
      <w:bookmarkStart w:id="53" w:name="_Toc148433367"/>
      <w:r>
        <w:t xml:space="preserve">Processing non-cash payments incurs </w:t>
      </w:r>
      <w:proofErr w:type="gramStart"/>
      <w:r>
        <w:t>costs</w:t>
      </w:r>
      <w:bookmarkEnd w:id="51"/>
      <w:bookmarkEnd w:id="52"/>
      <w:bookmarkEnd w:id="53"/>
      <w:proofErr w:type="gramEnd"/>
      <w:r>
        <w:t xml:space="preserve"> </w:t>
      </w:r>
    </w:p>
    <w:p w14:paraId="16454579" w14:textId="4DF16518" w:rsidR="00B62DFD" w:rsidRDefault="00B62DFD" w:rsidP="00B62DFD">
      <w:r>
        <w:t xml:space="preserve">Cash payments are made between a buyer and a seller </w:t>
      </w:r>
      <w:r w:rsidR="00C824F4">
        <w:t>(</w:t>
      </w:r>
      <w:r>
        <w:t xml:space="preserve">also known as </w:t>
      </w:r>
      <w:r w:rsidR="00C824F4">
        <w:t xml:space="preserve">a </w:t>
      </w:r>
      <w:r>
        <w:t>merchant</w:t>
      </w:r>
      <w:r w:rsidR="00C824F4">
        <w:t>)</w:t>
      </w:r>
      <w:r>
        <w:t>. Non-cash payments are made between three or more parties – the buyer</w:t>
      </w:r>
      <w:r w:rsidR="008F76B9">
        <w:t>,</w:t>
      </w:r>
      <w:r>
        <w:t xml:space="preserve"> </w:t>
      </w:r>
      <w:r w:rsidR="0049208A">
        <w:t xml:space="preserve">the </w:t>
      </w:r>
      <w:r>
        <w:t xml:space="preserve">merchant, </w:t>
      </w:r>
      <w:proofErr w:type="gramStart"/>
      <w:r w:rsidR="00872C50">
        <w:t>and</w:t>
      </w:r>
      <w:r>
        <w:t xml:space="preserve"> also</w:t>
      </w:r>
      <w:proofErr w:type="gramEnd"/>
      <w:r>
        <w:t xml:space="preserve"> payment </w:t>
      </w:r>
      <w:r w:rsidR="008D095D">
        <w:t>intermediaries</w:t>
      </w:r>
      <w:r>
        <w:t xml:space="preserve">. </w:t>
      </w:r>
      <w:r w:rsidR="00427865">
        <w:t>These</w:t>
      </w:r>
      <w:r w:rsidR="002A631E">
        <w:t xml:space="preserve"> intermedi</w:t>
      </w:r>
      <w:r w:rsidR="00771FCC">
        <w:t>aries</w:t>
      </w:r>
      <w:r w:rsidR="00E250E9">
        <w:t xml:space="preserve"> </w:t>
      </w:r>
      <w:r w:rsidR="00427865">
        <w:t xml:space="preserve">effectively </w:t>
      </w:r>
      <w:r w:rsidR="00070B10">
        <w:t xml:space="preserve">charge </w:t>
      </w:r>
      <w:r>
        <w:t xml:space="preserve">merchants </w:t>
      </w:r>
      <w:r w:rsidR="00070B10">
        <w:t xml:space="preserve">for </w:t>
      </w:r>
      <w:r w:rsidR="005C2555">
        <w:t xml:space="preserve">the </w:t>
      </w:r>
      <w:r w:rsidR="0030678A">
        <w:t xml:space="preserve">cost of </w:t>
      </w:r>
      <w:r w:rsidR="00070B10">
        <w:t xml:space="preserve">authorising and settling non-cash </w:t>
      </w:r>
      <w:r>
        <w:t>transaction</w:t>
      </w:r>
      <w:r w:rsidR="005E2FC6">
        <w:t>s</w:t>
      </w:r>
      <w:r>
        <w:t>. Merchants can choose to pass these costs onto buyers</w:t>
      </w:r>
      <w:r w:rsidR="00746072">
        <w:t xml:space="preserve"> through what</w:t>
      </w:r>
      <w:r>
        <w:t xml:space="preserve"> is called </w:t>
      </w:r>
      <w:r w:rsidR="000A4E79">
        <w:t>a</w:t>
      </w:r>
      <w:r>
        <w:t xml:space="preserve"> non-cash payment surcharge.</w:t>
      </w:r>
    </w:p>
    <w:p w14:paraId="7A86EDFF" w14:textId="3614E904" w:rsidR="00B62DFD" w:rsidRDefault="00B62DFD" w:rsidP="00B62DFD">
      <w:r>
        <w:lastRenderedPageBreak/>
        <w:t xml:space="preserve">The Reserve Bank of Australia </w:t>
      </w:r>
      <w:r w:rsidR="40C891CB">
        <w:t>regulates</w:t>
      </w:r>
      <w:r>
        <w:t xml:space="preserve"> </w:t>
      </w:r>
      <w:r w:rsidR="0046045C">
        <w:t>non-cash payment surcharges</w:t>
      </w:r>
      <w:r>
        <w:t xml:space="preserve"> </w:t>
      </w:r>
      <w:r w:rsidR="005A4B87">
        <w:t>for most sectors of the Australian economy</w:t>
      </w:r>
      <w:r w:rsidR="1CEED5BF">
        <w:t>, but not taxis</w:t>
      </w:r>
      <w:r w:rsidR="00045346">
        <w:t>.</w:t>
      </w:r>
      <w:r w:rsidR="00AF4019">
        <w:rPr>
          <w:rStyle w:val="FootnoteReference"/>
        </w:rPr>
        <w:footnoteReference w:id="23"/>
      </w:r>
      <w:r w:rsidR="00045346">
        <w:t xml:space="preserve"> In </w:t>
      </w:r>
      <w:r w:rsidR="0034525B">
        <w:t>Victoria</w:t>
      </w:r>
      <w:r w:rsidR="00045346">
        <w:t xml:space="preserve">, </w:t>
      </w:r>
      <w:r w:rsidR="0025538E">
        <w:t xml:space="preserve">we have </w:t>
      </w:r>
      <w:r w:rsidR="1CEED5BF">
        <w:t>that role.</w:t>
      </w:r>
      <w:r w:rsidR="00B9452E">
        <w:rPr>
          <w:rStyle w:val="FootnoteReference"/>
        </w:rPr>
        <w:footnoteReference w:id="24"/>
      </w:r>
      <w:r>
        <w:t xml:space="preserve"> </w:t>
      </w:r>
    </w:p>
    <w:p w14:paraId="256554F0" w14:textId="3F5D9B1B" w:rsidR="00B62DFD" w:rsidRDefault="00263489" w:rsidP="00B62DFD">
      <w:pPr>
        <w:pStyle w:val="Heading3"/>
      </w:pPr>
      <w:bookmarkStart w:id="54" w:name="_Toc146635479"/>
      <w:bookmarkStart w:id="55" w:name="_Toc147745798"/>
      <w:bookmarkStart w:id="56" w:name="_Toc148433368"/>
      <w:r>
        <w:t xml:space="preserve">Taxi non-cash payment surcharges are mostly collected by </w:t>
      </w:r>
      <w:r w:rsidR="004A3296">
        <w:t xml:space="preserve">taxi payment </w:t>
      </w:r>
      <w:proofErr w:type="gramStart"/>
      <w:r w:rsidR="004A3296">
        <w:t>processors</w:t>
      </w:r>
      <w:bookmarkEnd w:id="54"/>
      <w:bookmarkEnd w:id="55"/>
      <w:bookmarkEnd w:id="56"/>
      <w:proofErr w:type="gramEnd"/>
    </w:p>
    <w:p w14:paraId="6B9D3FFD" w14:textId="78A34782" w:rsidR="0059727C" w:rsidRDefault="00B62DFD" w:rsidP="0059727C">
      <w:r>
        <w:t>In the taxi industry, the non-cash payment surcharge may be collected by either</w:t>
      </w:r>
      <w:r w:rsidR="0059727C">
        <w:t xml:space="preserve"> taxi payment processors, booking service providers</w:t>
      </w:r>
      <w:r w:rsidR="449C18BF">
        <w:t>,</w:t>
      </w:r>
      <w:r w:rsidR="0059727C">
        <w:t xml:space="preserve"> taxi drivers or operators.</w:t>
      </w:r>
    </w:p>
    <w:p w14:paraId="0AACB464" w14:textId="5FB1E8B4" w:rsidR="0059727C" w:rsidRDefault="0059727C" w:rsidP="0059727C">
      <w:r>
        <w:t xml:space="preserve">Taxi payment processors </w:t>
      </w:r>
      <w:r w:rsidR="004A4F32">
        <w:t xml:space="preserve">are merchant aggregators that </w:t>
      </w:r>
      <w:r>
        <w:t>provide terminals and equipment and facilitate payments between taxi drivers and customers.</w:t>
      </w:r>
      <w:r w:rsidR="004A4F32">
        <w:rPr>
          <w:rStyle w:val="FootnoteReference"/>
        </w:rPr>
        <w:footnoteReference w:id="25"/>
      </w:r>
      <w:r>
        <w:t xml:space="preserve"> The terminals </w:t>
      </w:r>
      <w:r w:rsidR="007A3ECF">
        <w:t xml:space="preserve">used to process non-cash payments </w:t>
      </w:r>
      <w:r w:rsidR="003C48A7">
        <w:t xml:space="preserve">may </w:t>
      </w:r>
      <w:r>
        <w:t xml:space="preserve">be bundled with other taxi services, such as </w:t>
      </w:r>
      <w:r w:rsidR="003C48A7">
        <w:t xml:space="preserve">integration with </w:t>
      </w:r>
      <w:r>
        <w:t>taximeters</w:t>
      </w:r>
      <w:r w:rsidR="003C48A7">
        <w:t xml:space="preserve"> and</w:t>
      </w:r>
      <w:r>
        <w:t xml:space="preserve"> dispatch systems, </w:t>
      </w:r>
      <w:proofErr w:type="spellStart"/>
      <w:r w:rsidR="008464D3">
        <w:t>Multi Purpose</w:t>
      </w:r>
      <w:proofErr w:type="spellEnd"/>
      <w:r w:rsidR="008464D3">
        <w:t xml:space="preserve"> Taxi Program</w:t>
      </w:r>
      <w:r w:rsidR="00713C68">
        <w:t xml:space="preserve"> </w:t>
      </w:r>
      <w:r>
        <w:t xml:space="preserve">subsidy processing and tax invoicing. </w:t>
      </w:r>
    </w:p>
    <w:p w14:paraId="1E910DF6" w14:textId="66034AA9" w:rsidR="0059727C" w:rsidRDefault="0059727C" w:rsidP="0059727C">
      <w:r>
        <w:t xml:space="preserve">Booking service providers may also take </w:t>
      </w:r>
      <w:r w:rsidR="00D055B3">
        <w:t xml:space="preserve">non-cash </w:t>
      </w:r>
      <w:r>
        <w:t>payment</w:t>
      </w:r>
      <w:r w:rsidR="00D055B3">
        <w:t>s</w:t>
      </w:r>
      <w:r>
        <w:t xml:space="preserve"> from taxi passengers. This </w:t>
      </w:r>
      <w:r w:rsidR="00951095">
        <w:t>collection method</w:t>
      </w:r>
      <w:r>
        <w:t xml:space="preserve"> is more common </w:t>
      </w:r>
      <w:r w:rsidR="003135CA">
        <w:t xml:space="preserve">now </w:t>
      </w:r>
      <w:r>
        <w:t>due to the increasing use of smartphone apps</w:t>
      </w:r>
      <w:r w:rsidR="00AC46AA">
        <w:t xml:space="preserve"> to book taxi services</w:t>
      </w:r>
      <w:r>
        <w:t xml:space="preserve">. </w:t>
      </w:r>
    </w:p>
    <w:p w14:paraId="3DD16198" w14:textId="0E1A9267" w:rsidR="0059727C" w:rsidRDefault="0059727C" w:rsidP="0059727C">
      <w:r>
        <w:t xml:space="preserve">While not common, taxi drivers or </w:t>
      </w:r>
      <w:r w:rsidR="00DB5B81">
        <w:t xml:space="preserve">taxi </w:t>
      </w:r>
      <w:r>
        <w:t xml:space="preserve">operators may use payment terminals that they have sourced directly from a </w:t>
      </w:r>
      <w:r w:rsidR="00B56219">
        <w:t>bank</w:t>
      </w:r>
      <w:r>
        <w:t xml:space="preserve"> or merchant aggregator.</w:t>
      </w:r>
      <w:r w:rsidR="00B56219">
        <w:rPr>
          <w:rStyle w:val="FootnoteReference"/>
        </w:rPr>
        <w:footnoteReference w:id="26"/>
      </w:r>
      <w:r>
        <w:t xml:space="preserve"> In this case, the taxi driver or operator will </w:t>
      </w:r>
      <w:r w:rsidR="00596F43">
        <w:t xml:space="preserve">collect </w:t>
      </w:r>
      <w:r>
        <w:t xml:space="preserve">the surcharge. </w:t>
      </w:r>
    </w:p>
    <w:p w14:paraId="0B4FDE09" w14:textId="41446BC8" w:rsidR="00644F87" w:rsidRDefault="002A46D2" w:rsidP="00A36BBE">
      <w:pPr>
        <w:pStyle w:val="Heading3numbered"/>
      </w:pPr>
      <w:bookmarkStart w:id="57" w:name="_Toc146635480"/>
      <w:bookmarkStart w:id="58" w:name="_Toc147745799"/>
      <w:bookmarkStart w:id="59" w:name="_Toc148433369"/>
      <w:r>
        <w:t xml:space="preserve">Outcomes of our </w:t>
      </w:r>
      <w:r w:rsidR="00CA0F90">
        <w:t>previous decisions</w:t>
      </w:r>
      <w:bookmarkEnd w:id="57"/>
      <w:bookmarkEnd w:id="58"/>
      <w:bookmarkEnd w:id="59"/>
      <w:r w:rsidR="00CA0F90">
        <w:t xml:space="preserve"> </w:t>
      </w:r>
    </w:p>
    <w:p w14:paraId="0105CB49" w14:textId="09F2D477" w:rsidR="00644F87" w:rsidRDefault="00460E86" w:rsidP="00644F87">
      <w:r>
        <w:t xml:space="preserve">In our </w:t>
      </w:r>
      <w:r w:rsidR="00134349">
        <w:t>2019 review</w:t>
      </w:r>
      <w:r w:rsidR="009C5207">
        <w:t xml:space="preserve">, </w:t>
      </w:r>
      <w:r w:rsidR="000F70CF">
        <w:t xml:space="preserve">we set </w:t>
      </w:r>
      <w:r w:rsidR="009C5207">
        <w:t>t</w:t>
      </w:r>
      <w:r w:rsidR="00644F87">
        <w:t>he maximum non-cash payment surcharges at:</w:t>
      </w:r>
    </w:p>
    <w:p w14:paraId="56545E80" w14:textId="2CA0A0CD" w:rsidR="00644F87" w:rsidRDefault="005E1736" w:rsidP="00644F87">
      <w:pPr>
        <w:pStyle w:val="ListBullet"/>
      </w:pPr>
      <w:r>
        <w:t>4</w:t>
      </w:r>
      <w:r w:rsidR="00A5672D">
        <w:t> per cent</w:t>
      </w:r>
      <w:r w:rsidR="00644F87">
        <w:t xml:space="preserve"> (including GST) for most non-cash payment </w:t>
      </w:r>
      <w:proofErr w:type="gramStart"/>
      <w:r w:rsidR="00644F87">
        <w:t>methods</w:t>
      </w:r>
      <w:proofErr w:type="gramEnd"/>
      <w:r w:rsidR="00644F87">
        <w:t xml:space="preserve"> </w:t>
      </w:r>
    </w:p>
    <w:p w14:paraId="7DBA2A11" w14:textId="6D083015" w:rsidR="00644F87" w:rsidRDefault="005E1736" w:rsidP="00644F87">
      <w:pPr>
        <w:pStyle w:val="ListBullet"/>
      </w:pPr>
      <w:r>
        <w:t>6</w:t>
      </w:r>
      <w:r w:rsidR="00A5672D">
        <w:t> per cent</w:t>
      </w:r>
      <w:r w:rsidR="00644F87">
        <w:t xml:space="preserve"> (excluding GST) for </w:t>
      </w:r>
      <w:r w:rsidR="00076B7D">
        <w:t>taxi</w:t>
      </w:r>
      <w:r w:rsidR="00644F87">
        <w:t xml:space="preserve"> specific </w:t>
      </w:r>
      <w:r w:rsidR="00085942">
        <w:t xml:space="preserve">payment </w:t>
      </w:r>
      <w:r w:rsidR="00644F87">
        <w:t xml:space="preserve">instruments (like </w:t>
      </w:r>
      <w:proofErr w:type="spellStart"/>
      <w:r w:rsidR="00644F87">
        <w:t>Cabcharge</w:t>
      </w:r>
      <w:proofErr w:type="spellEnd"/>
      <w:r w:rsidR="00644F87">
        <w:t>).</w:t>
      </w:r>
    </w:p>
    <w:p w14:paraId="1B1C1A3D" w14:textId="42668A74" w:rsidR="002838F6" w:rsidRDefault="00134349" w:rsidP="002838F6">
      <w:r>
        <w:t>We</w:t>
      </w:r>
      <w:r w:rsidR="002838F6">
        <w:t xml:space="preserve"> found that </w:t>
      </w:r>
      <w:r w:rsidR="00A2162A">
        <w:t xml:space="preserve">most </w:t>
      </w:r>
      <w:r w:rsidR="002838F6">
        <w:t xml:space="preserve">payment processors required </w:t>
      </w:r>
      <w:r w:rsidR="00236F41">
        <w:t xml:space="preserve">a surcharge of </w:t>
      </w:r>
      <w:r w:rsidR="002838F6">
        <w:t>between 3.5</w:t>
      </w:r>
      <w:r w:rsidR="00A5672D">
        <w:t> per cent</w:t>
      </w:r>
      <w:r w:rsidR="002838F6">
        <w:t xml:space="preserve"> and 3.9</w:t>
      </w:r>
      <w:r w:rsidR="00A5672D">
        <w:t> per cent</w:t>
      </w:r>
      <w:r w:rsidR="002838F6">
        <w:t xml:space="preserve"> to recover reasonable costs. In consideration of the cost assessment, </w:t>
      </w:r>
      <w:proofErr w:type="gramStart"/>
      <w:r w:rsidR="002838F6">
        <w:t>benchmarking</w:t>
      </w:r>
      <w:proofErr w:type="gramEnd"/>
      <w:r w:rsidR="002838F6">
        <w:t xml:space="preserve"> and stakeholder views, we set the surcharge for most non-cash methods at 4</w:t>
      </w:r>
      <w:r w:rsidR="00A5672D">
        <w:t> per cent</w:t>
      </w:r>
      <w:r w:rsidR="002838F6">
        <w:t xml:space="preserve">. We set a higher surcharge for </w:t>
      </w:r>
      <w:r w:rsidR="00946601">
        <w:t xml:space="preserve">taxi </w:t>
      </w:r>
      <w:r w:rsidR="002838F6">
        <w:t>specific</w:t>
      </w:r>
      <w:r w:rsidR="00971A3E">
        <w:t xml:space="preserve"> payment</w:t>
      </w:r>
      <w:r w:rsidR="002838F6">
        <w:t xml:space="preserve"> instruments, such as </w:t>
      </w:r>
      <w:proofErr w:type="spellStart"/>
      <w:r w:rsidR="002838F6">
        <w:t>Cabcharge</w:t>
      </w:r>
      <w:proofErr w:type="spellEnd"/>
      <w:r w:rsidR="00E7005B">
        <w:t>,</w:t>
      </w:r>
      <w:r w:rsidR="002838F6">
        <w:t xml:space="preserve"> because firms</w:t>
      </w:r>
      <w:r w:rsidR="00B533DF">
        <w:t>’</w:t>
      </w:r>
      <w:r w:rsidR="002838F6">
        <w:t xml:space="preserve"> submitted data showed that this method incurred higher costs.</w:t>
      </w:r>
    </w:p>
    <w:p w14:paraId="20275866" w14:textId="444227D8" w:rsidR="002838F6" w:rsidRDefault="0070245E" w:rsidP="002838F6">
      <w:r>
        <w:lastRenderedPageBreak/>
        <w:t xml:space="preserve">After </w:t>
      </w:r>
      <w:r w:rsidR="002838F6">
        <w:t>follow</w:t>
      </w:r>
      <w:r>
        <w:t>ing</w:t>
      </w:r>
      <w:r w:rsidR="002838F6">
        <w:t xml:space="preserve"> a similar approach in our 2022 review</w:t>
      </w:r>
      <w:r>
        <w:t>,</w:t>
      </w:r>
      <w:r w:rsidR="002838F6">
        <w:t xml:space="preserve"> </w:t>
      </w:r>
      <w:r>
        <w:t>we</w:t>
      </w:r>
      <w:r w:rsidR="002838F6">
        <w:t xml:space="preserve"> decided to maintain the maximum surcharges at 4</w:t>
      </w:r>
      <w:r w:rsidR="00A5672D">
        <w:t> per cent</w:t>
      </w:r>
      <w:r w:rsidR="00B32990">
        <w:t xml:space="preserve"> </w:t>
      </w:r>
      <w:r w:rsidR="002838F6">
        <w:t>and 6</w:t>
      </w:r>
      <w:r w:rsidR="00A5672D">
        <w:t> per cent</w:t>
      </w:r>
      <w:r w:rsidR="002838F6">
        <w:t>.</w:t>
      </w:r>
      <w:r w:rsidR="00C035DA">
        <w:rPr>
          <w:rStyle w:val="FootnoteReference"/>
        </w:rPr>
        <w:footnoteReference w:id="27"/>
      </w:r>
      <w:r w:rsidR="002838F6">
        <w:t xml:space="preserve"> </w:t>
      </w:r>
    </w:p>
    <w:p w14:paraId="0E49C537" w14:textId="04CD5695" w:rsidR="008919BC" w:rsidRDefault="008919BC" w:rsidP="00A36BBE">
      <w:pPr>
        <w:pStyle w:val="Heading2numbered"/>
      </w:pPr>
      <w:bookmarkStart w:id="60" w:name="_Toc148433370"/>
      <w:r>
        <w:t xml:space="preserve">We seek views on our </w:t>
      </w:r>
      <w:proofErr w:type="gramStart"/>
      <w:r>
        <w:t>approach</w:t>
      </w:r>
      <w:bookmarkEnd w:id="60"/>
      <w:proofErr w:type="gramEnd"/>
    </w:p>
    <w:p w14:paraId="292E6426" w14:textId="68AB10E5" w:rsidR="00605731" w:rsidRDefault="00605731" w:rsidP="00605731">
      <w:r>
        <w:t xml:space="preserve">In reviewing the current determination and deciding </w:t>
      </w:r>
      <w:r w:rsidR="00FB3CD9">
        <w:t xml:space="preserve">on </w:t>
      </w:r>
      <w:r>
        <w:t>whether to change the maximum surcharges, we will benchmark surcharges against comparable credit and debit card transactions occurring in other sectors of the economy.</w:t>
      </w:r>
      <w:r w:rsidR="0034511B">
        <w:rPr>
          <w:rStyle w:val="FootnoteReference"/>
        </w:rPr>
        <w:footnoteReference w:id="28"/>
      </w:r>
      <w:r>
        <w:t xml:space="preserve"> </w:t>
      </w:r>
      <w:r w:rsidR="48077747">
        <w:t xml:space="preserve">This will be our basis for considering what the reasonable costs of processing non-cash payment transactions </w:t>
      </w:r>
      <w:r w:rsidR="581E405A">
        <w:t xml:space="preserve">is </w:t>
      </w:r>
      <w:r w:rsidR="48077747">
        <w:t>likely to be.</w:t>
      </w:r>
    </w:p>
    <w:p w14:paraId="0355E4C8" w14:textId="1E195B8B" w:rsidR="000F475B" w:rsidRDefault="00DB18A8" w:rsidP="000F475B">
      <w:r>
        <w:t>In our</w:t>
      </w:r>
      <w:r w:rsidR="000F475B">
        <w:t xml:space="preserve"> first two reviews</w:t>
      </w:r>
      <w:r w:rsidR="00EF50D4">
        <w:t>,</w:t>
      </w:r>
      <w:r>
        <w:t xml:space="preserve"> conducted in 2019</w:t>
      </w:r>
      <w:r w:rsidR="00854BD5">
        <w:t>–2</w:t>
      </w:r>
      <w:r w:rsidR="00097455">
        <w:t>0</w:t>
      </w:r>
      <w:r>
        <w:t xml:space="preserve"> and 2022</w:t>
      </w:r>
      <w:r w:rsidR="000F475B">
        <w:t xml:space="preserve">, we assessed the reasonable costs of taxi non-cash payment services by using </w:t>
      </w:r>
      <w:r w:rsidR="004A0BEF">
        <w:t xml:space="preserve">benchmarking analysis and </w:t>
      </w:r>
      <w:r w:rsidR="000F475B">
        <w:t>a building block model.</w:t>
      </w:r>
      <w:r w:rsidR="000F475B">
        <w:rPr>
          <w:rStyle w:val="FootnoteReference"/>
        </w:rPr>
        <w:footnoteReference w:id="29"/>
      </w:r>
      <w:r w:rsidR="000F475B">
        <w:t xml:space="preserve"> </w:t>
      </w:r>
      <w:r w:rsidR="00C05893">
        <w:t>The model</w:t>
      </w:r>
      <w:r w:rsidR="000F475B">
        <w:t xml:space="preserve"> used actual cost data submitted by non-cash payment service providers</w:t>
      </w:r>
      <w:r w:rsidR="00DA2DA2">
        <w:t>,</w:t>
      </w:r>
      <w:r w:rsidR="000F475B">
        <w:t xml:space="preserve"> which we collected via compulsory information notices.</w:t>
      </w:r>
    </w:p>
    <w:p w14:paraId="11367BF0" w14:textId="1EEDBA1E" w:rsidR="000F475B" w:rsidRDefault="002B10E0" w:rsidP="000F475B">
      <w:r>
        <w:t xml:space="preserve">Given we collected extensive </w:t>
      </w:r>
      <w:r w:rsidR="00411997">
        <w:t>financial information during the previous two reviews</w:t>
      </w:r>
      <w:r w:rsidR="000F63FB">
        <w:t>,</w:t>
      </w:r>
      <w:r w:rsidR="000F475B">
        <w:t xml:space="preserve"> and </w:t>
      </w:r>
      <w:r w:rsidR="00D61CCA">
        <w:t xml:space="preserve">due to the </w:t>
      </w:r>
      <w:r w:rsidR="000F475B">
        <w:t>cost on industry associated with data collection</w:t>
      </w:r>
      <w:r w:rsidR="1E3D1DDF">
        <w:t xml:space="preserve"> and provision</w:t>
      </w:r>
      <w:r w:rsidR="000F475B">
        <w:t xml:space="preserve">, we do not intend to update the model for </w:t>
      </w:r>
      <w:r w:rsidR="000F475B" w:rsidRPr="00074A5F">
        <w:rPr>
          <w:i/>
          <w:iCs/>
        </w:rPr>
        <w:t>this review</w:t>
      </w:r>
      <w:r w:rsidR="000F475B" w:rsidRPr="00074A5F">
        <w:t>.</w:t>
      </w:r>
      <w:r w:rsidR="000F475B">
        <w:t xml:space="preserve"> </w:t>
      </w:r>
    </w:p>
    <w:p w14:paraId="79E3219E" w14:textId="0B715482" w:rsidR="00EF4909" w:rsidRPr="00762515" w:rsidRDefault="006551CB" w:rsidP="00762515">
      <w:pPr>
        <w:pStyle w:val="Heading3"/>
      </w:pPr>
      <w:bookmarkStart w:id="61" w:name="_Toc148433371"/>
      <w:r w:rsidRPr="00762515">
        <w:rPr>
          <w:rStyle w:val="Heading3numberedChar"/>
          <w:b/>
        </w:rPr>
        <w:t xml:space="preserve">We </w:t>
      </w:r>
      <w:r w:rsidR="0087232C" w:rsidRPr="00762515">
        <w:rPr>
          <w:rStyle w:val="Heading3numberedChar"/>
          <w:b/>
        </w:rPr>
        <w:t>will</w:t>
      </w:r>
      <w:r w:rsidR="00605731">
        <w:rPr>
          <w:rStyle w:val="Heading3numberedChar"/>
          <w:b/>
        </w:rPr>
        <w:t xml:space="preserve"> consider the reasonable costs of processing taxi non-cash </w:t>
      </w:r>
      <w:proofErr w:type="gramStart"/>
      <w:r w:rsidR="00605731">
        <w:rPr>
          <w:rStyle w:val="Heading3numberedChar"/>
          <w:b/>
        </w:rPr>
        <w:t>payments</w:t>
      </w:r>
      <w:bookmarkEnd w:id="61"/>
      <w:proofErr w:type="gramEnd"/>
    </w:p>
    <w:p w14:paraId="0F075A15" w14:textId="725A6472" w:rsidR="00082BFD" w:rsidRDefault="00D31CAF" w:rsidP="000C0483">
      <w:r>
        <w:t xml:space="preserve">Our starting position </w:t>
      </w:r>
      <w:r w:rsidR="003F0A63">
        <w:t xml:space="preserve">for this review, </w:t>
      </w:r>
      <w:r>
        <w:t xml:space="preserve">is that the current </w:t>
      </w:r>
      <w:r w:rsidR="006E15A2">
        <w:t xml:space="preserve">maximum </w:t>
      </w:r>
      <w:r>
        <w:t>surcharges are</w:t>
      </w:r>
      <w:r w:rsidR="009A10F1">
        <w:t xml:space="preserve"> allowing non-cash service providers to recover the reasonable cost of processing non-cash payment transactions</w:t>
      </w:r>
      <w:r w:rsidR="003F1390">
        <w:t>.</w:t>
      </w:r>
      <w:r w:rsidR="00D20019">
        <w:t xml:space="preserve"> </w:t>
      </w:r>
      <w:r w:rsidR="004C03E3">
        <w:t xml:space="preserve">We are interested </w:t>
      </w:r>
      <w:r w:rsidR="00005A74">
        <w:t xml:space="preserve">in stakeholder views on whether this is the case. </w:t>
      </w:r>
    </w:p>
    <w:p w14:paraId="7264261E" w14:textId="0368C4F7" w:rsidR="003F1390" w:rsidRDefault="00082BFD" w:rsidP="000C0483">
      <w:r>
        <w:t>While we are not proposing to issue compulsory information notices, we ask non-cash</w:t>
      </w:r>
      <w:r w:rsidR="00967E8E">
        <w:t xml:space="preserve"> payment</w:t>
      </w:r>
      <w:r>
        <w:t xml:space="preserve"> service providers </w:t>
      </w:r>
      <w:r w:rsidR="00CB7AAF">
        <w:t xml:space="preserve">to </w:t>
      </w:r>
      <w:r w:rsidR="00FC2965">
        <w:t>submit</w:t>
      </w:r>
      <w:r w:rsidR="00CB7AAF">
        <w:t xml:space="preserve"> information to support their views on whether the current surcharges </w:t>
      </w:r>
      <w:r w:rsidR="004E1142">
        <w:t xml:space="preserve">are appropriate. </w:t>
      </w:r>
      <w:r>
        <w:t xml:space="preserve"> </w:t>
      </w:r>
    </w:p>
    <w:p w14:paraId="1E508F2E" w14:textId="77777777" w:rsidR="0046094C" w:rsidRDefault="004E1142" w:rsidP="0046094C">
      <w:r>
        <w:t>W</w:t>
      </w:r>
      <w:r w:rsidR="000C0483">
        <w:t xml:space="preserve">e are </w:t>
      </w:r>
      <w:r w:rsidR="008D1EA2">
        <w:t xml:space="preserve">also </w:t>
      </w:r>
      <w:r w:rsidR="000C0483">
        <w:t>interested in understanding if there have been any changes in the payment processing industry that we should consider</w:t>
      </w:r>
      <w:r w:rsidR="5CE20310">
        <w:t xml:space="preserve"> which might call into question the above approach</w:t>
      </w:r>
      <w:r w:rsidR="000C0483">
        <w:t xml:space="preserve">. </w:t>
      </w:r>
      <w:r w:rsidR="008D1EA2">
        <w:t>This includes</w:t>
      </w:r>
      <w:r w:rsidR="000C0483">
        <w:t xml:space="preserve"> how the level of competition in the industry has or has not changed since our last review</w:t>
      </w:r>
      <w:r w:rsidR="003D38F4">
        <w:t xml:space="preserve">, and </w:t>
      </w:r>
      <w:r w:rsidR="00BD220A">
        <w:t>how the industr</w:t>
      </w:r>
      <w:r w:rsidR="0033776F">
        <w:t>y</w:t>
      </w:r>
      <w:r w:rsidR="00BD220A">
        <w:t xml:space="preserve"> </w:t>
      </w:r>
      <w:r w:rsidR="001C4F25">
        <w:t xml:space="preserve">has </w:t>
      </w:r>
      <w:r w:rsidR="00BD220A">
        <w:t xml:space="preserve">changed </w:t>
      </w:r>
      <w:r w:rsidR="0033776F">
        <w:t>following the coronavirus pandemic.</w:t>
      </w:r>
      <w:r w:rsidR="000C0483">
        <w:t xml:space="preserve"> </w:t>
      </w:r>
    </w:p>
    <w:p w14:paraId="13553D8D" w14:textId="2D3036C3" w:rsidR="00166E54" w:rsidRDefault="00166E54" w:rsidP="00777EA9">
      <w:pPr>
        <w:pStyle w:val="Pull-outListNumber1"/>
        <w:pBdr>
          <w:top w:val="single" w:sz="48" w:space="14" w:color="B2CFDC" w:themeColor="text2" w:themeTint="66"/>
        </w:pBdr>
        <w:spacing w:before="120"/>
        <w:ind w:left="555" w:hanging="357"/>
      </w:pPr>
      <w:r w:rsidRPr="00DF4E8A">
        <w:lastRenderedPageBreak/>
        <w:t xml:space="preserve">The maximum non-cash payment surcharge </w:t>
      </w:r>
      <w:r w:rsidR="005C4475">
        <w:t>is currently</w:t>
      </w:r>
      <w:r w:rsidR="005C4475" w:rsidRPr="00DF4E8A">
        <w:t xml:space="preserve"> </w:t>
      </w:r>
      <w:r w:rsidRPr="00DF4E8A">
        <w:t>set at 4</w:t>
      </w:r>
      <w:r w:rsidR="00A5672D">
        <w:t> per cent</w:t>
      </w:r>
      <w:r w:rsidRPr="00DF4E8A">
        <w:t xml:space="preserve"> for most non-cash payment methods and 6</w:t>
      </w:r>
      <w:r w:rsidR="00A5672D">
        <w:t> per cent</w:t>
      </w:r>
      <w:r w:rsidRPr="00DF4E8A">
        <w:t xml:space="preserve"> for specific instruments. Do these represent the reasonable costs for providing non-cash payment options? </w:t>
      </w:r>
      <w:r w:rsidR="00760C61">
        <w:t xml:space="preserve">Please provide information to support your views on the current costs of </w:t>
      </w:r>
      <w:r w:rsidR="001F2345">
        <w:t xml:space="preserve">processing non-cash payment transactions. </w:t>
      </w:r>
    </w:p>
    <w:p w14:paraId="07995D8F" w14:textId="564A8467" w:rsidR="0047088C" w:rsidRPr="00DF4E8A" w:rsidRDefault="0047088C" w:rsidP="00777EA9">
      <w:pPr>
        <w:pStyle w:val="Pull-outListNumber1"/>
        <w:pBdr>
          <w:top w:val="single" w:sz="48" w:space="14" w:color="B2CFDC" w:themeColor="text2" w:themeTint="66"/>
        </w:pBdr>
        <w:ind w:left="555" w:hanging="357"/>
      </w:pPr>
      <w:r w:rsidRPr="00DF4E8A">
        <w:t>Have there been substantive changes in the industry</w:t>
      </w:r>
      <w:r w:rsidR="008C74C2">
        <w:t xml:space="preserve">, such as </w:t>
      </w:r>
      <w:r w:rsidR="00237839">
        <w:t xml:space="preserve">changes in demand for payment services, </w:t>
      </w:r>
      <w:r w:rsidR="00665530">
        <w:t>new technologies</w:t>
      </w:r>
      <w:r w:rsidR="00AD01FC">
        <w:t>, changes in terminal usage,</w:t>
      </w:r>
      <w:r w:rsidR="00665530">
        <w:t xml:space="preserve"> or </w:t>
      </w:r>
      <w:r w:rsidR="00CC4D96">
        <w:t xml:space="preserve">service providers </w:t>
      </w:r>
      <w:r w:rsidR="00DE4C84">
        <w:t xml:space="preserve">entering or exiting </w:t>
      </w:r>
      <w:r w:rsidR="00CC4D96">
        <w:t>the market,</w:t>
      </w:r>
      <w:r w:rsidRPr="00DF4E8A">
        <w:t xml:space="preserve"> since our 2022 review? If so, what are these</w:t>
      </w:r>
      <w:r w:rsidR="006D0A50">
        <w:t xml:space="preserve"> changes and how have they impacted the industry in a way that </w:t>
      </w:r>
      <w:r w:rsidR="004202DA">
        <w:t>can</w:t>
      </w:r>
      <w:r w:rsidR="006D0A50">
        <w:t xml:space="preserve"> inform our review</w:t>
      </w:r>
      <w:r w:rsidRPr="00DF4E8A">
        <w:t>?</w:t>
      </w:r>
    </w:p>
    <w:p w14:paraId="05239250" w14:textId="3DC2DC68" w:rsidR="00E10D4F" w:rsidRDefault="00E10D4F" w:rsidP="001D3FB6">
      <w:pPr>
        <w:pStyle w:val="Heading3numbered"/>
      </w:pPr>
      <w:bookmarkStart w:id="62" w:name="_Toc148433372"/>
      <w:r>
        <w:t xml:space="preserve">We seek views on our benchmarking </w:t>
      </w:r>
      <w:proofErr w:type="gramStart"/>
      <w:r>
        <w:t>approach</w:t>
      </w:r>
      <w:bookmarkEnd w:id="62"/>
      <w:proofErr w:type="gramEnd"/>
      <w:r>
        <w:t xml:space="preserve">  </w:t>
      </w:r>
    </w:p>
    <w:p w14:paraId="63DF9545" w14:textId="3FB51A1A" w:rsidR="00501043" w:rsidRDefault="00E10D4F" w:rsidP="00E10D4F">
      <w:r>
        <w:t xml:space="preserve">We </w:t>
      </w:r>
      <w:r w:rsidR="00B35F0F">
        <w:t xml:space="preserve">propose updating </w:t>
      </w:r>
      <w:r w:rsidR="00180CCA">
        <w:t xml:space="preserve">the </w:t>
      </w:r>
      <w:r>
        <w:t xml:space="preserve">benchmarking analysis </w:t>
      </w:r>
      <w:r w:rsidR="00180CCA">
        <w:t>that we conducted in our previous reviews.</w:t>
      </w:r>
      <w:r>
        <w:t xml:space="preserve"> We consider that benchmarking can provide a reasonable check on whether the current surcharges continue to be appropriate. </w:t>
      </w:r>
    </w:p>
    <w:p w14:paraId="583E82CD" w14:textId="505CA3D4" w:rsidR="00E10D4F" w:rsidRDefault="003E6479" w:rsidP="00E10D4F">
      <w:r>
        <w:t xml:space="preserve">Our benchmarking approach involves using prices for </w:t>
      </w:r>
      <w:r w:rsidR="00D93A80">
        <w:t xml:space="preserve">processing non-cash </w:t>
      </w:r>
      <w:r w:rsidR="00AE29EA">
        <w:t>payments</w:t>
      </w:r>
      <w:r w:rsidR="00D93A80">
        <w:t xml:space="preserve"> that are available to small businesses. </w:t>
      </w:r>
      <w:r w:rsidR="00457C90">
        <w:t>We collect</w:t>
      </w:r>
      <w:r w:rsidR="006F5F22">
        <w:t xml:space="preserve"> </w:t>
      </w:r>
      <w:r w:rsidR="00D849F9">
        <w:t>market offers</w:t>
      </w:r>
      <w:r w:rsidR="006F5F22">
        <w:t xml:space="preserve"> from banks or merchant aggregators</w:t>
      </w:r>
      <w:r w:rsidR="00D849F9">
        <w:t xml:space="preserve"> and compare</w:t>
      </w:r>
      <w:r w:rsidR="00630702">
        <w:t xml:space="preserve"> these to the average revenue processed by taxis. </w:t>
      </w:r>
      <w:r w:rsidR="0026223D">
        <w:t xml:space="preserve">In </w:t>
      </w:r>
      <w:r w:rsidR="004313B4">
        <w:t xml:space="preserve">our 2019 review, </w:t>
      </w:r>
      <w:r w:rsidR="00632E0A">
        <w:t>our approach resulted in a cost range between 1.9</w:t>
      </w:r>
      <w:r w:rsidR="00A5672D">
        <w:t> per cent</w:t>
      </w:r>
      <w:r w:rsidR="00E86F6D">
        <w:t xml:space="preserve"> </w:t>
      </w:r>
      <w:r w:rsidR="00632E0A">
        <w:t>and 3.4</w:t>
      </w:r>
      <w:r w:rsidR="00A5672D">
        <w:t> per cent</w:t>
      </w:r>
      <w:r w:rsidR="00632E0A">
        <w:t>. In 2022, th</w:t>
      </w:r>
      <w:r w:rsidR="005E7C85">
        <w:t>e range was</w:t>
      </w:r>
      <w:r w:rsidR="005C3EDC">
        <w:t xml:space="preserve"> between 1.2</w:t>
      </w:r>
      <w:r w:rsidR="00A5672D">
        <w:t> per cent</w:t>
      </w:r>
      <w:r w:rsidR="00962823">
        <w:t xml:space="preserve"> </w:t>
      </w:r>
      <w:r w:rsidR="005C3EDC">
        <w:t>and 5.7</w:t>
      </w:r>
      <w:r w:rsidR="00A5672D">
        <w:t> per cent</w:t>
      </w:r>
      <w:r w:rsidR="005C3EDC">
        <w:t>.</w:t>
      </w:r>
      <w:r w:rsidR="005C3EDC">
        <w:rPr>
          <w:rStyle w:val="FootnoteReference"/>
        </w:rPr>
        <w:footnoteReference w:id="30"/>
      </w:r>
      <w:r w:rsidR="00632E0A">
        <w:t xml:space="preserve"> </w:t>
      </w:r>
    </w:p>
    <w:p w14:paraId="18590658" w14:textId="15101AC6" w:rsidR="00AA23EA" w:rsidRDefault="00AA23EA" w:rsidP="00E10D4F">
      <w:r>
        <w:t xml:space="preserve">As part of our benchmarking assessment, we </w:t>
      </w:r>
      <w:r w:rsidR="0054310A">
        <w:t xml:space="preserve">previously </w:t>
      </w:r>
      <w:r>
        <w:t>assume</w:t>
      </w:r>
      <w:r w:rsidR="0054310A">
        <w:t>d</w:t>
      </w:r>
      <w:r>
        <w:t xml:space="preserve"> that taxi drivers </w:t>
      </w:r>
      <w:r w:rsidR="00EF1225">
        <w:t>we</w:t>
      </w:r>
      <w:r>
        <w:t xml:space="preserve">re using two </w:t>
      </w:r>
      <w:r w:rsidR="00CD1BDA">
        <w:t xml:space="preserve">EFTPOS payment </w:t>
      </w:r>
      <w:r>
        <w:t xml:space="preserve">terminals. </w:t>
      </w:r>
      <w:r w:rsidR="007B3510">
        <w:t>This is due to</w:t>
      </w:r>
      <w:r w:rsidR="00AD624A">
        <w:t xml:space="preserve"> a</w:t>
      </w:r>
      <w:r w:rsidR="007B3510">
        <w:t xml:space="preserve"> </w:t>
      </w:r>
      <w:r w:rsidR="0054310A">
        <w:t xml:space="preserve">requirement for taxi drivers to use a terminal </w:t>
      </w:r>
      <w:r w:rsidR="00D95BCB">
        <w:t xml:space="preserve">that can process </w:t>
      </w:r>
      <w:proofErr w:type="spellStart"/>
      <w:r w:rsidR="00D95BCB">
        <w:t>M</w:t>
      </w:r>
      <w:r w:rsidR="006126DA">
        <w:t>ulti Purpose</w:t>
      </w:r>
      <w:proofErr w:type="spellEnd"/>
      <w:r w:rsidR="006126DA">
        <w:t xml:space="preserve"> Taxi Program</w:t>
      </w:r>
      <w:r w:rsidR="00D95BCB">
        <w:t xml:space="preserve"> transactions.</w:t>
      </w:r>
    </w:p>
    <w:p w14:paraId="06097962" w14:textId="48DBC7C1" w:rsidR="00AA23EA" w:rsidRDefault="00AD624A" w:rsidP="00E10D4F">
      <w:r>
        <w:t xml:space="preserve">Stakeholders have </w:t>
      </w:r>
      <w:r w:rsidR="01696915">
        <w:t>said</w:t>
      </w:r>
      <w:r>
        <w:t xml:space="preserve"> tha</w:t>
      </w:r>
      <w:r w:rsidR="00347ACF">
        <w:t xml:space="preserve">t it is common for drivers </w:t>
      </w:r>
      <w:r w:rsidR="00E25E3B">
        <w:t>to use a second terminal, as it provides access to better terms and incentives</w:t>
      </w:r>
      <w:r w:rsidR="002879ED">
        <w:t>, and act</w:t>
      </w:r>
      <w:r w:rsidR="002F39FD">
        <w:t>s</w:t>
      </w:r>
      <w:r w:rsidR="002879ED">
        <w:t xml:space="preserve"> as a backup if their primary terminal fails</w:t>
      </w:r>
      <w:r w:rsidR="00E25E3B">
        <w:t xml:space="preserve">. We are interested in hearing </w:t>
      </w:r>
      <w:r w:rsidR="46E2A4D8">
        <w:t>if</w:t>
      </w:r>
      <w:r w:rsidR="00E25E3B">
        <w:t xml:space="preserve"> this </w:t>
      </w:r>
      <w:r w:rsidR="00D54371">
        <w:t xml:space="preserve">assumption remains </w:t>
      </w:r>
      <w:r w:rsidR="00E45277">
        <w:t xml:space="preserve">accurate. </w:t>
      </w:r>
    </w:p>
    <w:p w14:paraId="2323F426" w14:textId="48BB76C1" w:rsidR="008B52BF" w:rsidRDefault="00E10D4F" w:rsidP="00E10D4F">
      <w:r>
        <w:t xml:space="preserve">We are also </w:t>
      </w:r>
      <w:r w:rsidR="00ED42C0">
        <w:t xml:space="preserve">interested in stakeholder views on </w:t>
      </w:r>
      <w:r>
        <w:t xml:space="preserve">whether there </w:t>
      </w:r>
      <w:r w:rsidR="00EE0E5F">
        <w:t>are</w:t>
      </w:r>
      <w:r>
        <w:t xml:space="preserve"> </w:t>
      </w:r>
      <w:r w:rsidR="00733776">
        <w:t xml:space="preserve">other </w:t>
      </w:r>
      <w:r w:rsidR="00AD64E5">
        <w:t>comparable cost data</w:t>
      </w:r>
      <w:r w:rsidR="00C71CE5">
        <w:t xml:space="preserve"> or </w:t>
      </w:r>
      <w:r w:rsidR="00733776">
        <w:t>benchmarking approaches</w:t>
      </w:r>
      <w:r w:rsidR="00EE0E5F">
        <w:t xml:space="preserve"> </w:t>
      </w:r>
      <w:r w:rsidR="4BD3D711">
        <w:t>worth implementing or adding to the existing approach</w:t>
      </w:r>
      <w:r w:rsidR="00E038C8">
        <w:t>.</w:t>
      </w:r>
      <w:r w:rsidR="008B52BF">
        <w:t xml:space="preserve"> For example, alternative approaches could include:</w:t>
      </w:r>
    </w:p>
    <w:p w14:paraId="1CEBE4FD" w14:textId="3B59A321" w:rsidR="008B52BF" w:rsidRDefault="003A0BC1" w:rsidP="008B52BF">
      <w:pPr>
        <w:pStyle w:val="ListBullet"/>
      </w:pPr>
      <w:r>
        <w:t>b</w:t>
      </w:r>
      <w:r w:rsidR="00FD3468">
        <w:t>enchmarking costs in other industries</w:t>
      </w:r>
    </w:p>
    <w:p w14:paraId="30F62498" w14:textId="27814F44" w:rsidR="00FD3468" w:rsidRDefault="00FD3468" w:rsidP="008B52BF">
      <w:pPr>
        <w:pStyle w:val="ListBullet"/>
      </w:pPr>
      <w:r>
        <w:lastRenderedPageBreak/>
        <w:t xml:space="preserve">benchmarking </w:t>
      </w:r>
      <w:r w:rsidR="00DD70A3">
        <w:rPr>
          <w:i/>
          <w:iCs/>
        </w:rPr>
        <w:t>changes</w:t>
      </w:r>
      <w:r w:rsidR="00DD70A3">
        <w:t xml:space="preserve"> in </w:t>
      </w:r>
      <w:r w:rsidR="007863E0">
        <w:t>surcharges</w:t>
      </w:r>
      <w:r w:rsidR="009F4523">
        <w:t>/cost</w:t>
      </w:r>
      <w:r w:rsidR="00A0597C">
        <w:t>s</w:t>
      </w:r>
      <w:r w:rsidR="00DD70A3">
        <w:t xml:space="preserve"> in other industries </w:t>
      </w:r>
      <w:r w:rsidR="003A0BC1">
        <w:t>(rather than</w:t>
      </w:r>
      <w:r w:rsidR="00A40CDA">
        <w:t xml:space="preserve"> the </w:t>
      </w:r>
      <w:r w:rsidR="007863E0">
        <w:t>actual surcharge</w:t>
      </w:r>
      <w:r w:rsidR="009F4523">
        <w:t>/cost</w:t>
      </w:r>
      <w:r w:rsidR="009B2037">
        <w:t>)</w:t>
      </w:r>
    </w:p>
    <w:p w14:paraId="12EE4895" w14:textId="1CDF3B5D" w:rsidR="00392A26" w:rsidRDefault="003F2BC5" w:rsidP="006126DA">
      <w:pPr>
        <w:pStyle w:val="ListBullet"/>
      </w:pPr>
      <w:r>
        <w:t xml:space="preserve">developing a cost index that is reflective of the cost components faced </w:t>
      </w:r>
      <w:r w:rsidR="00C876ED">
        <w:t xml:space="preserve">by </w:t>
      </w:r>
      <w:r w:rsidR="00DF0DA9">
        <w:t>non-cash payment service providers operating in the taxi industry</w:t>
      </w:r>
      <w:r w:rsidR="00C876ED">
        <w:t>.</w:t>
      </w:r>
      <w:r w:rsidR="00DF0DA9">
        <w:t xml:space="preserve"> </w:t>
      </w:r>
    </w:p>
    <w:p w14:paraId="1525FCE0" w14:textId="74FA615B" w:rsidR="00F72A12" w:rsidRDefault="008C3502" w:rsidP="00777EA9">
      <w:pPr>
        <w:pStyle w:val="Pull-outListNumber1"/>
        <w:ind w:left="555" w:hanging="357"/>
      </w:pPr>
      <w:r>
        <w:t>What views do you have on</w:t>
      </w:r>
      <w:r w:rsidR="3B5D5DA0">
        <w:t xml:space="preserve"> our </w:t>
      </w:r>
      <w:r w:rsidR="00A8405C" w:rsidRPr="00A8405C">
        <w:t xml:space="preserve">proposed approach of using benchmarking to assess </w:t>
      </w:r>
      <w:r w:rsidR="008739B3">
        <w:t xml:space="preserve">the reasonableness of the current </w:t>
      </w:r>
      <w:r w:rsidR="00A8405C" w:rsidRPr="00A8405C">
        <w:t>maximum non-cash payment surcharges</w:t>
      </w:r>
      <w:r w:rsidR="2ED933DA">
        <w:t xml:space="preserve">? </w:t>
      </w:r>
      <w:r w:rsidR="007214E8">
        <w:t>Have</w:t>
      </w:r>
      <w:r w:rsidR="00B526CF">
        <w:t xml:space="preserve"> there </w:t>
      </w:r>
      <w:r w:rsidR="007214E8">
        <w:t xml:space="preserve">been </w:t>
      </w:r>
      <w:r w:rsidR="00B526CF">
        <w:t>changes in</w:t>
      </w:r>
      <w:r w:rsidR="007214E8">
        <w:t xml:space="preserve"> </w:t>
      </w:r>
      <w:r w:rsidR="006F024A">
        <w:t>terminal offerings</w:t>
      </w:r>
      <w:r w:rsidR="00717949">
        <w:t xml:space="preserve"> </w:t>
      </w:r>
      <w:r w:rsidR="007214E8">
        <w:t xml:space="preserve">that </w:t>
      </w:r>
      <w:r w:rsidR="00717949">
        <w:t xml:space="preserve">might affect the </w:t>
      </w:r>
      <w:r w:rsidR="00D75085">
        <w:t>validity</w:t>
      </w:r>
      <w:r w:rsidR="00717949">
        <w:t xml:space="preserve"> of our benchmarking analysis</w:t>
      </w:r>
      <w:r w:rsidR="0007526E">
        <w:t>?</w:t>
      </w:r>
    </w:p>
    <w:p w14:paraId="158F6AE6" w14:textId="77777777" w:rsidR="00E81B5C" w:rsidRDefault="00D55299" w:rsidP="00777EA9">
      <w:pPr>
        <w:pStyle w:val="Pull-outListNumber1"/>
        <w:ind w:left="555" w:hanging="357"/>
        <w:sectPr w:rsidR="00E81B5C" w:rsidSect="00E81B5C">
          <w:footerReference w:type="default" r:id="rId25"/>
          <w:pgSz w:w="11906" w:h="16838" w:code="9"/>
          <w:pgMar w:top="1134" w:right="1134" w:bottom="1134" w:left="1134" w:header="709" w:footer="692" w:gutter="0"/>
          <w:cols w:space="708"/>
          <w:docGrid w:linePitch="360"/>
        </w:sectPr>
      </w:pPr>
      <w:r>
        <w:t>Are there any other benchmarks that we should consider for the review?</w:t>
      </w:r>
      <w:r w:rsidR="00E709A9">
        <w:t xml:space="preserve"> Do you have any views on alternative approaches we could adopt?</w:t>
      </w:r>
    </w:p>
    <w:p w14:paraId="177654F6" w14:textId="2FD10F4A" w:rsidR="00772EB1" w:rsidRPr="00710792" w:rsidRDefault="00772EB1" w:rsidP="00772EB1">
      <w:pPr>
        <w:pStyle w:val="Heading1"/>
        <w:rPr>
          <w:rFonts w:eastAsiaTheme="minorHAnsi"/>
        </w:rPr>
      </w:pPr>
      <w:bookmarkStart w:id="63" w:name="_Toc148433373"/>
      <w:r>
        <w:lastRenderedPageBreak/>
        <w:t>Appendi</w:t>
      </w:r>
      <w:r w:rsidR="001A628C">
        <w:t>x A</w:t>
      </w:r>
      <w:r w:rsidR="008E45AE">
        <w:t>: Legislative framework</w:t>
      </w:r>
      <w:bookmarkEnd w:id="63"/>
      <w:r w:rsidR="001A628C">
        <w:t xml:space="preserve"> </w:t>
      </w:r>
      <w:r w:rsidR="00B82077">
        <w:t xml:space="preserve"> </w:t>
      </w:r>
    </w:p>
    <w:p w14:paraId="3D0530F2" w14:textId="30AFB1AF" w:rsidR="00631933" w:rsidRDefault="00631933" w:rsidP="00631933">
      <w:pPr>
        <w:shd w:val="clear" w:color="auto" w:fill="FFFFFF" w:themeFill="background1"/>
        <w:rPr>
          <w:rFonts w:ascii="Arial" w:eastAsia="Arial" w:hAnsi="Arial" w:cs="Arial"/>
        </w:rPr>
      </w:pPr>
      <w:r w:rsidRPr="00CD5024">
        <w:rPr>
          <w:rFonts w:ascii="Arial" w:eastAsia="Arial" w:hAnsi="Arial" w:cs="Arial"/>
        </w:rPr>
        <w:t xml:space="preserve">The </w:t>
      </w:r>
      <w:r w:rsidRPr="00DB121C">
        <w:rPr>
          <w:rFonts w:ascii="Arial" w:eastAsia="Arial" w:hAnsi="Arial" w:cs="Arial"/>
          <w:i/>
          <w:iCs/>
        </w:rPr>
        <w:t>Commercial Passenger Vehicle Industry Act 2017</w:t>
      </w:r>
      <w:r>
        <w:rPr>
          <w:rFonts w:ascii="Arial" w:eastAsia="Arial" w:hAnsi="Arial" w:cs="Arial"/>
        </w:rPr>
        <w:t xml:space="preserve"> </w:t>
      </w:r>
      <w:r w:rsidRPr="00CD5024">
        <w:rPr>
          <w:rFonts w:ascii="Arial" w:eastAsia="Arial" w:hAnsi="Arial" w:cs="Arial"/>
        </w:rPr>
        <w:t xml:space="preserve">and the </w:t>
      </w:r>
      <w:r w:rsidRPr="00DB121C">
        <w:rPr>
          <w:rFonts w:ascii="Arial" w:eastAsia="Arial" w:hAnsi="Arial" w:cs="Arial"/>
          <w:i/>
          <w:iCs/>
        </w:rPr>
        <w:t>Essential Services Commission Act 2001</w:t>
      </w:r>
      <w:r>
        <w:rPr>
          <w:rFonts w:ascii="Arial" w:eastAsia="Arial" w:hAnsi="Arial" w:cs="Arial"/>
        </w:rPr>
        <w:t xml:space="preserve"> g</w:t>
      </w:r>
      <w:r w:rsidRPr="00CD5024">
        <w:rPr>
          <w:rFonts w:ascii="Arial" w:eastAsia="Arial" w:hAnsi="Arial" w:cs="Arial"/>
        </w:rPr>
        <w:t xml:space="preserve">overn </w:t>
      </w:r>
      <w:r>
        <w:rPr>
          <w:rFonts w:ascii="Arial" w:eastAsia="Arial" w:hAnsi="Arial" w:cs="Arial"/>
        </w:rPr>
        <w:t xml:space="preserve">our </w:t>
      </w:r>
      <w:r w:rsidRPr="00CD5024">
        <w:rPr>
          <w:rFonts w:ascii="Arial" w:eastAsia="Arial" w:hAnsi="Arial" w:cs="Arial"/>
        </w:rPr>
        <w:t>role</w:t>
      </w:r>
      <w:r>
        <w:rPr>
          <w:rFonts w:ascii="Arial" w:eastAsia="Arial" w:hAnsi="Arial" w:cs="Arial"/>
        </w:rPr>
        <w:t xml:space="preserve"> in regulating maximum fares for applicable unbooked services</w:t>
      </w:r>
      <w:r w:rsidR="009B3A43">
        <w:rPr>
          <w:rFonts w:ascii="Arial" w:eastAsia="Arial" w:hAnsi="Arial" w:cs="Arial"/>
        </w:rPr>
        <w:t xml:space="preserve"> and maximum non-cash payment </w:t>
      </w:r>
      <w:r w:rsidR="00027887">
        <w:rPr>
          <w:rFonts w:ascii="Arial" w:eastAsia="Arial" w:hAnsi="Arial" w:cs="Arial"/>
        </w:rPr>
        <w:t>surcharges</w:t>
      </w:r>
      <w:r>
        <w:rPr>
          <w:rFonts w:ascii="Arial" w:eastAsia="Arial" w:hAnsi="Arial" w:cs="Arial"/>
        </w:rPr>
        <w:t xml:space="preserve">. We </w:t>
      </w:r>
      <w:r w:rsidRPr="00CD5024">
        <w:rPr>
          <w:rFonts w:ascii="Arial" w:eastAsia="Arial" w:hAnsi="Arial" w:cs="Arial"/>
        </w:rPr>
        <w:t xml:space="preserve">must also have regard to the transport system objectives and </w:t>
      </w:r>
      <w:r w:rsidR="003E2EA0" w:rsidRPr="00CD5024">
        <w:rPr>
          <w:rFonts w:ascii="Arial" w:eastAsia="Arial" w:hAnsi="Arial" w:cs="Arial"/>
        </w:rPr>
        <w:t>decision</w:t>
      </w:r>
      <w:r w:rsidR="003E2EA0">
        <w:rPr>
          <w:rFonts w:ascii="Arial" w:eastAsia="Arial" w:hAnsi="Arial" w:cs="Arial"/>
        </w:rPr>
        <w:t>-making</w:t>
      </w:r>
      <w:r w:rsidRPr="00CD5024">
        <w:rPr>
          <w:rFonts w:ascii="Arial" w:eastAsia="Arial" w:hAnsi="Arial" w:cs="Arial"/>
        </w:rPr>
        <w:t xml:space="preserve"> principles under the </w:t>
      </w:r>
      <w:r w:rsidRPr="00DB121C">
        <w:rPr>
          <w:rFonts w:ascii="Arial" w:eastAsia="Arial" w:hAnsi="Arial" w:cs="Arial"/>
          <w:i/>
          <w:iCs/>
        </w:rPr>
        <w:t>Transport Integration Act 2010</w:t>
      </w:r>
      <w:r>
        <w:rPr>
          <w:rFonts w:ascii="Arial" w:eastAsia="Arial" w:hAnsi="Arial" w:cs="Arial"/>
        </w:rPr>
        <w:t>.</w:t>
      </w:r>
      <w:r w:rsidRPr="00CD5024">
        <w:rPr>
          <w:rFonts w:ascii="Arial" w:eastAsia="Arial" w:hAnsi="Arial" w:cs="Arial"/>
          <w:sz w:val="18"/>
          <w:szCs w:val="18"/>
          <w:vertAlign w:val="superscript"/>
        </w:rPr>
        <w:footnoteReference w:id="31"/>
      </w:r>
      <w:r w:rsidRPr="00CD5024">
        <w:rPr>
          <w:rFonts w:ascii="Arial" w:eastAsia="Arial" w:hAnsi="Arial" w:cs="Arial"/>
        </w:rPr>
        <w:t xml:space="preserve"> </w:t>
      </w:r>
    </w:p>
    <w:p w14:paraId="0B6C2D4B" w14:textId="3009A016" w:rsidR="00BF703F" w:rsidRDefault="00BF703F" w:rsidP="00BF703F">
      <w:r>
        <w:t xml:space="preserve">The </w:t>
      </w:r>
      <w:r w:rsidR="00A44BBF">
        <w:t>Commercial Passenger Vehicle Industry Act</w:t>
      </w:r>
      <w:r>
        <w:t xml:space="preserve"> requires </w:t>
      </w:r>
      <w:r w:rsidR="00B562CA">
        <w:t>us</w:t>
      </w:r>
      <w:r>
        <w:t xml:space="preserve"> to complete a review of a price determination no later than two years after it is made.</w:t>
      </w:r>
      <w:r>
        <w:rPr>
          <w:rStyle w:val="FootnoteReference"/>
        </w:rPr>
        <w:footnoteReference w:id="32"/>
      </w:r>
      <w:r>
        <w:t xml:space="preserve"> The previous determinations for maximum unbooked taxi fares and maximum </w:t>
      </w:r>
      <w:r w:rsidR="00710E5E">
        <w:t xml:space="preserve">non-cash payment </w:t>
      </w:r>
      <w:r>
        <w:t>surcharges to apply to taxi fares in Victoria w</w:t>
      </w:r>
      <w:r w:rsidR="00CE2F1F">
        <w:t>ere</w:t>
      </w:r>
      <w:r>
        <w:t xml:space="preserve"> made on 31 August 2022. </w:t>
      </w:r>
    </w:p>
    <w:p w14:paraId="5AB9DB26" w14:textId="2F7B01BA" w:rsidR="00435E25" w:rsidRDefault="00435E25" w:rsidP="00BF703F">
      <w:r w:rsidRPr="004E76D5">
        <w:t xml:space="preserve">In reviewing the current determination and making a new determination, </w:t>
      </w:r>
      <w:r w:rsidR="00A44BBF">
        <w:t>we are required</w:t>
      </w:r>
      <w:r w:rsidRPr="004E76D5">
        <w:t xml:space="preserve"> to adopt an approach and methodology which we consider will best meet the legislative objectives</w:t>
      </w:r>
      <w:r w:rsidR="00A44BBF">
        <w:t>.</w:t>
      </w:r>
      <w:r w:rsidR="00986836">
        <w:rPr>
          <w:rStyle w:val="FootnoteReference"/>
        </w:rPr>
        <w:footnoteReference w:id="33"/>
      </w:r>
    </w:p>
    <w:p w14:paraId="5843B6A2" w14:textId="37B8D21D" w:rsidR="007A2316" w:rsidRDefault="2D157A61" w:rsidP="00125FDE">
      <w:pPr>
        <w:pStyle w:val="Heading2numbered"/>
      </w:pPr>
      <w:bookmarkStart w:id="64" w:name="_Toc147745804"/>
      <w:bookmarkStart w:id="65" w:name="_Toc148433374"/>
      <w:r>
        <w:t>O</w:t>
      </w:r>
      <w:r w:rsidR="00993721">
        <w:t>bjectives</w:t>
      </w:r>
      <w:r w:rsidR="00705818">
        <w:t xml:space="preserve"> in</w:t>
      </w:r>
      <w:r w:rsidR="00C51465">
        <w:t xml:space="preserve"> setting maximum unbooked taxi </w:t>
      </w:r>
      <w:proofErr w:type="gramStart"/>
      <w:r w:rsidR="00C51465">
        <w:t>fares</w:t>
      </w:r>
      <w:bookmarkEnd w:id="64"/>
      <w:bookmarkEnd w:id="65"/>
      <w:proofErr w:type="gramEnd"/>
    </w:p>
    <w:p w14:paraId="0DAA3906" w14:textId="31C49D2A" w:rsidR="00C51465" w:rsidRPr="00F11EAC" w:rsidRDefault="00C51465" w:rsidP="00C51465">
      <w:pPr>
        <w:rPr>
          <w:rFonts w:ascii="Arial" w:eastAsia="Arial" w:hAnsi="Arial" w:cs="Arial"/>
        </w:rPr>
      </w:pPr>
      <w:r w:rsidRPr="00C4744D">
        <w:t>Our objective under th</w:t>
      </w:r>
      <w:r w:rsidR="00A44BBF">
        <w:t>e Commercial Passenger Vehicle Industry Act</w:t>
      </w:r>
      <w:r>
        <w:t xml:space="preserve"> </w:t>
      </w:r>
      <w:r w:rsidRPr="00C4744D">
        <w:t xml:space="preserve">for determining maximum fares </w:t>
      </w:r>
      <w:r>
        <w:t xml:space="preserve">for unbooked taxi services </w:t>
      </w:r>
      <w:r w:rsidRPr="00C4744D">
        <w:t xml:space="preserve">is to promote the efficient provision and use of unbooked </w:t>
      </w:r>
      <w:r>
        <w:t xml:space="preserve">commercial passenger vehicle </w:t>
      </w:r>
      <w:r w:rsidRPr="00C4744D">
        <w:t>services.</w:t>
      </w:r>
      <w:r w:rsidRPr="00C4744D">
        <w:rPr>
          <w:rStyle w:val="FootnoteReference"/>
        </w:rPr>
        <w:footnoteReference w:id="34"/>
      </w:r>
      <w:r w:rsidRPr="00C4744D">
        <w:t xml:space="preserve"> This objective complements our objective under the </w:t>
      </w:r>
      <w:r w:rsidR="00A44BBF">
        <w:t>Essential Services Commission Act</w:t>
      </w:r>
      <w:r w:rsidRPr="00C4744D">
        <w:t>, which is to promote the long</w:t>
      </w:r>
      <w:r>
        <w:t>-</w:t>
      </w:r>
      <w:r w:rsidRPr="00C4744D">
        <w:t>term interests of Victorian consumers.</w:t>
      </w:r>
      <w:r w:rsidRPr="00C4744D">
        <w:rPr>
          <w:rStyle w:val="FootnoteReference"/>
        </w:rPr>
        <w:footnoteReference w:id="35"/>
      </w:r>
      <w:r w:rsidRPr="00C4744D">
        <w:t xml:space="preserve"> </w:t>
      </w:r>
      <w:r>
        <w:rPr>
          <w:rFonts w:ascii="Arial" w:eastAsia="Arial" w:hAnsi="Arial" w:cs="Arial"/>
        </w:rPr>
        <w:t>In seeking to achieve this objective, we must have regard to the price, quality and reliability of essential services.</w:t>
      </w:r>
      <w:r w:rsidRPr="007E7303">
        <w:rPr>
          <w:rFonts w:ascii="Arial" w:eastAsia="Arial" w:hAnsi="Arial" w:cs="Arial"/>
          <w:sz w:val="18"/>
          <w:szCs w:val="18"/>
          <w:vertAlign w:val="superscript"/>
        </w:rPr>
        <w:t xml:space="preserve"> </w:t>
      </w:r>
      <w:r w:rsidRPr="00A75C11">
        <w:rPr>
          <w:rFonts w:ascii="Arial" w:eastAsia="Arial" w:hAnsi="Arial" w:cs="Arial"/>
          <w:sz w:val="18"/>
          <w:szCs w:val="18"/>
          <w:vertAlign w:val="superscript"/>
        </w:rPr>
        <w:footnoteReference w:id="36"/>
      </w:r>
      <w:r w:rsidRPr="00A75C11">
        <w:rPr>
          <w:rFonts w:ascii="Arial" w:eastAsia="Arial" w:hAnsi="Arial" w:cs="Arial"/>
        </w:rPr>
        <w:t xml:space="preserve"> </w:t>
      </w:r>
    </w:p>
    <w:p w14:paraId="6BD962A5" w14:textId="118B8E63" w:rsidR="00C51465" w:rsidRDefault="00DF46A6" w:rsidP="00C51465">
      <w:pPr>
        <w:rPr>
          <w:lang w:val="en-GB"/>
        </w:rPr>
      </w:pPr>
      <w:r>
        <w:rPr>
          <w:lang w:val="en-GB"/>
        </w:rPr>
        <w:t>T</w:t>
      </w:r>
      <w:r w:rsidRPr="00BE59E9">
        <w:rPr>
          <w:lang w:val="en-GB"/>
        </w:rPr>
        <w:t xml:space="preserve">he </w:t>
      </w:r>
      <w:r w:rsidR="00EA65DE">
        <w:rPr>
          <w:lang w:val="en-GB"/>
        </w:rPr>
        <w:t>Commercial Passenger Vehicle Industry Act</w:t>
      </w:r>
      <w:r w:rsidRPr="00BE59E9">
        <w:rPr>
          <w:lang w:val="en-GB"/>
        </w:rPr>
        <w:t xml:space="preserve"> include</w:t>
      </w:r>
      <w:r>
        <w:rPr>
          <w:lang w:val="en-GB"/>
        </w:rPr>
        <w:t>s</w:t>
      </w:r>
      <w:r w:rsidRPr="00BE59E9">
        <w:rPr>
          <w:lang w:val="en-GB"/>
        </w:rPr>
        <w:t xml:space="preserve"> additional matters </w:t>
      </w:r>
      <w:r w:rsidR="00E4389D">
        <w:rPr>
          <w:lang w:val="en-GB"/>
        </w:rPr>
        <w:t>we</w:t>
      </w:r>
      <w:r w:rsidRPr="00BE59E9">
        <w:rPr>
          <w:lang w:val="en-GB"/>
        </w:rPr>
        <w:t xml:space="preserve"> may consider in deciding the </w:t>
      </w:r>
      <w:proofErr w:type="gramStart"/>
      <w:r w:rsidRPr="00BE59E9">
        <w:rPr>
          <w:lang w:val="en-GB"/>
        </w:rPr>
        <w:t>manner in which</w:t>
      </w:r>
      <w:proofErr w:type="gramEnd"/>
      <w:r w:rsidRPr="00BE59E9">
        <w:rPr>
          <w:lang w:val="en-GB"/>
        </w:rPr>
        <w:t xml:space="preserve"> to regulate maximum fares. These </w:t>
      </w:r>
      <w:r w:rsidR="00810A09">
        <w:rPr>
          <w:lang w:val="en-GB"/>
        </w:rPr>
        <w:t>provisions state</w:t>
      </w:r>
      <w:r>
        <w:rPr>
          <w:lang w:val="en-GB"/>
        </w:rPr>
        <w:t xml:space="preserve"> that the </w:t>
      </w:r>
      <w:proofErr w:type="gramStart"/>
      <w:r>
        <w:rPr>
          <w:lang w:val="en-GB"/>
        </w:rPr>
        <w:t>manner in which</w:t>
      </w:r>
      <w:proofErr w:type="gramEnd"/>
      <w:r>
        <w:rPr>
          <w:lang w:val="en-GB"/>
        </w:rPr>
        <w:t xml:space="preserve"> </w:t>
      </w:r>
      <w:r w:rsidR="0055010C">
        <w:rPr>
          <w:lang w:val="en-GB"/>
        </w:rPr>
        <w:t>we</w:t>
      </w:r>
      <w:r w:rsidRPr="00BE59E9">
        <w:rPr>
          <w:lang w:val="en-GB"/>
        </w:rPr>
        <w:t xml:space="preserve"> </w:t>
      </w:r>
      <w:r>
        <w:rPr>
          <w:lang w:val="en-GB"/>
        </w:rPr>
        <w:t>may regulate prescribed prices (that is, to determine maximum fares) includes determining maximum fares</w:t>
      </w:r>
      <w:r w:rsidRPr="00BE59E9">
        <w:t xml:space="preserve"> according to, </w:t>
      </w:r>
      <w:r>
        <w:t>among other things</w:t>
      </w:r>
      <w:r w:rsidRPr="00BE59E9">
        <w:t xml:space="preserve">, the Fair Work Commission’s annual </w:t>
      </w:r>
      <w:r w:rsidRPr="00BE59E9">
        <w:lastRenderedPageBreak/>
        <w:t xml:space="preserve">wage review under section 285 of the </w:t>
      </w:r>
      <w:r w:rsidRPr="00BE59E9">
        <w:rPr>
          <w:i/>
          <w:iCs/>
        </w:rPr>
        <w:t>Fair Work Act 2009</w:t>
      </w:r>
      <w:r w:rsidRPr="00BE59E9">
        <w:t xml:space="preserve"> of the Commonwealth</w:t>
      </w:r>
      <w:r w:rsidRPr="00BE59E9">
        <w:rPr>
          <w:rStyle w:val="FootnoteReference"/>
        </w:rPr>
        <w:footnoteReference w:id="37"/>
      </w:r>
      <w:r w:rsidR="0067201D">
        <w:rPr>
          <w:lang w:val="en-GB"/>
        </w:rPr>
        <w:t>,</w:t>
      </w:r>
      <w:r w:rsidRPr="00BE59E9">
        <w:rPr>
          <w:lang w:val="en-GB"/>
        </w:rPr>
        <w:t xml:space="preserve"> the commercial viability of operating a taxi service</w:t>
      </w:r>
      <w:r w:rsidR="0067201D">
        <w:rPr>
          <w:lang w:val="en-GB"/>
        </w:rPr>
        <w:t xml:space="preserve"> and any other matter the commission considers </w:t>
      </w:r>
      <w:r w:rsidR="004D549F">
        <w:rPr>
          <w:lang w:val="en-GB"/>
        </w:rPr>
        <w:t xml:space="preserve">to be </w:t>
      </w:r>
      <w:r w:rsidR="0067201D">
        <w:rPr>
          <w:lang w:val="en-GB"/>
        </w:rPr>
        <w:t>relevant</w:t>
      </w:r>
      <w:r w:rsidRPr="00BE59E9">
        <w:rPr>
          <w:lang w:val="en-GB"/>
        </w:rPr>
        <w:t>.</w:t>
      </w:r>
      <w:r w:rsidRPr="00BE59E9">
        <w:rPr>
          <w:rStyle w:val="FootnoteReference"/>
          <w:lang w:val="en-GB"/>
        </w:rPr>
        <w:footnoteReference w:id="38"/>
      </w:r>
      <w:r w:rsidRPr="00BE59E9">
        <w:rPr>
          <w:lang w:val="en-GB"/>
        </w:rPr>
        <w:t xml:space="preserve">  </w:t>
      </w:r>
    </w:p>
    <w:p w14:paraId="5B3F13D3" w14:textId="381D5DCE" w:rsidR="00810A09" w:rsidRDefault="00705818" w:rsidP="00810A09">
      <w:pPr>
        <w:pStyle w:val="Heading2numbered"/>
      </w:pPr>
      <w:bookmarkStart w:id="66" w:name="_Toc147745805"/>
      <w:bookmarkStart w:id="67" w:name="_Toc148433375"/>
      <w:r>
        <w:t>Our role in</w:t>
      </w:r>
      <w:r w:rsidR="00810A09">
        <w:t xml:space="preserve"> setting maximum non-cash payment </w:t>
      </w:r>
      <w:proofErr w:type="gramStart"/>
      <w:r w:rsidR="00810A09">
        <w:t>surcharges</w:t>
      </w:r>
      <w:bookmarkEnd w:id="66"/>
      <w:bookmarkEnd w:id="67"/>
      <w:proofErr w:type="gramEnd"/>
    </w:p>
    <w:p w14:paraId="2238D6F9" w14:textId="58367BF4" w:rsidR="00DB3108" w:rsidRDefault="00DB3108" w:rsidP="00DB3108">
      <w:r>
        <w:t xml:space="preserve">The </w:t>
      </w:r>
      <w:r w:rsidR="00EA65DE">
        <w:t xml:space="preserve">Commercial Passenger Vehicle Industry Act </w:t>
      </w:r>
      <w:r>
        <w:t xml:space="preserve">states that </w:t>
      </w:r>
      <w:r w:rsidR="00B562CA">
        <w:t>our</w:t>
      </w:r>
      <w:r>
        <w:t xml:space="preserve"> objective in relation to the non-cash payment transaction industry is to promote efficiency by regulating the amount that may be imposed by way of a non-cash payment surcharge.</w:t>
      </w:r>
      <w:r>
        <w:rPr>
          <w:rStyle w:val="FootnoteReference"/>
        </w:rPr>
        <w:footnoteReference w:id="39"/>
      </w:r>
      <w:r>
        <w:t xml:space="preserve"> In seeking to achieve this objective, </w:t>
      </w:r>
      <w:r w:rsidR="005247F8">
        <w:t>we</w:t>
      </w:r>
      <w:r>
        <w:t xml:space="preserve"> must ensure that persons facilitating the making of non-cash payment transactions are able to recover the reasonable cost of accepting and processing such transactions.</w:t>
      </w:r>
      <w:r>
        <w:rPr>
          <w:rStyle w:val="FootnoteReference"/>
        </w:rPr>
        <w:footnoteReference w:id="40"/>
      </w:r>
      <w:r>
        <w:t xml:space="preserve"> </w:t>
      </w:r>
      <w:r w:rsidR="00161A41">
        <w:t>‘</w:t>
      </w:r>
      <w:r>
        <w:t>Reasonable cost</w:t>
      </w:r>
      <w:r w:rsidR="00A95199">
        <w:t>’</w:t>
      </w:r>
      <w:r>
        <w:t xml:space="preserve"> for the purposes of section 122 of the Act is defined to include </w:t>
      </w:r>
      <w:r w:rsidR="00A95199">
        <w:t>‘</w:t>
      </w:r>
      <w:r>
        <w:t>any fees payable for the acquisition of transactions involving the use of debit, credit or charge cards</w:t>
      </w:r>
      <w:r w:rsidR="00A95199">
        <w:t>’</w:t>
      </w:r>
      <w:r>
        <w:t>.</w:t>
      </w:r>
      <w:r>
        <w:rPr>
          <w:rStyle w:val="FootnoteReference"/>
        </w:rPr>
        <w:footnoteReference w:id="41"/>
      </w:r>
      <w:r>
        <w:t xml:space="preserve"> </w:t>
      </w:r>
    </w:p>
    <w:p w14:paraId="799BDD34" w14:textId="2B6EF7D9" w:rsidR="00DB3108" w:rsidRDefault="00DB3108" w:rsidP="00DB3108">
      <w:r>
        <w:t xml:space="preserve">The </w:t>
      </w:r>
      <w:r w:rsidR="00D465DD">
        <w:t xml:space="preserve">Essential Services Commission </w:t>
      </w:r>
      <w:r>
        <w:t xml:space="preserve">Act states that in performing </w:t>
      </w:r>
      <w:r w:rsidR="00573D0A">
        <w:t xml:space="preserve">our </w:t>
      </w:r>
      <w:r>
        <w:t xml:space="preserve">functions and exercising </w:t>
      </w:r>
      <w:r w:rsidR="00573D0A">
        <w:t xml:space="preserve">our </w:t>
      </w:r>
      <w:r>
        <w:t xml:space="preserve">powers, </w:t>
      </w:r>
      <w:r w:rsidR="00573D0A">
        <w:t xml:space="preserve">our </w:t>
      </w:r>
      <w:r>
        <w:t xml:space="preserve">objective is to promote the </w:t>
      </w:r>
      <w:r w:rsidR="00141DC4">
        <w:t>long-term</w:t>
      </w:r>
      <w:r>
        <w:t xml:space="preserve"> interests of Victorian consumers.</w:t>
      </w:r>
      <w:r>
        <w:rPr>
          <w:rStyle w:val="FootnoteReference"/>
        </w:rPr>
        <w:footnoteReference w:id="42"/>
      </w:r>
      <w:r>
        <w:t xml:space="preserve"> In performing </w:t>
      </w:r>
      <w:r w:rsidR="00573D0A">
        <w:t xml:space="preserve">our </w:t>
      </w:r>
      <w:r>
        <w:t xml:space="preserve">functions and exercising </w:t>
      </w:r>
      <w:r w:rsidR="00573D0A">
        <w:t xml:space="preserve">our </w:t>
      </w:r>
      <w:r>
        <w:t xml:space="preserve">powers in relation to essential services, </w:t>
      </w:r>
      <w:r w:rsidR="00573D0A">
        <w:t>we</w:t>
      </w:r>
      <w:r>
        <w:t xml:space="preserve"> must, in seeking to achieve this objective, have regard to the price, quality and reliability of essential services.</w:t>
      </w:r>
      <w:r>
        <w:rPr>
          <w:rStyle w:val="FootnoteReference"/>
        </w:rPr>
        <w:footnoteReference w:id="43"/>
      </w:r>
      <w:r>
        <w:t xml:space="preserve"> </w:t>
      </w:r>
    </w:p>
    <w:p w14:paraId="7EBBFD15" w14:textId="6AD1DD9E" w:rsidR="00775FED" w:rsidRDefault="00775FED" w:rsidP="00775FED">
      <w:r>
        <w:t>We do not regulate non-cash payment surcharges for rideshare and hire car services.</w:t>
      </w:r>
      <w:r>
        <w:rPr>
          <w:rStyle w:val="FootnoteReference"/>
        </w:rPr>
        <w:footnoteReference w:id="44"/>
      </w:r>
      <w:r>
        <w:t xml:space="preserve"> Rideshare and hire car non-cash payment surcharges are regulated by the Reserve Bank of Australia under the national payment systems framework.</w:t>
      </w:r>
      <w:r>
        <w:rPr>
          <w:rStyle w:val="FootnoteReference"/>
        </w:rPr>
        <w:footnoteReference w:id="45"/>
      </w:r>
      <w:r w:rsidRPr="007C4BDC">
        <w:t xml:space="preserve"> </w:t>
      </w:r>
    </w:p>
    <w:p w14:paraId="38C2541F" w14:textId="77777777" w:rsidR="007A2316" w:rsidRDefault="007A2316" w:rsidP="007A2316">
      <w:pPr>
        <w:pStyle w:val="Heading2"/>
      </w:pPr>
      <w:bookmarkStart w:id="68" w:name="_Toc113019939"/>
      <w:bookmarkStart w:id="69" w:name="_Toc147745806"/>
      <w:bookmarkStart w:id="70" w:name="_Toc148433376"/>
      <w:r>
        <w:t>Matters we must have regard to</w:t>
      </w:r>
      <w:bookmarkEnd w:id="68"/>
      <w:bookmarkEnd w:id="69"/>
      <w:bookmarkEnd w:id="70"/>
    </w:p>
    <w:p w14:paraId="1221F8FD" w14:textId="67DEB285" w:rsidR="007A2316" w:rsidRDefault="008D6C75" w:rsidP="007A2316">
      <w:r>
        <w:t>In undertaking our role, w</w:t>
      </w:r>
      <w:r w:rsidR="007A2316" w:rsidRPr="00BE59E9">
        <w:t xml:space="preserve">e must also have regard to </w:t>
      </w:r>
      <w:proofErr w:type="gramStart"/>
      <w:r w:rsidR="007A2316" w:rsidRPr="00BE59E9">
        <w:t>a number of</w:t>
      </w:r>
      <w:proofErr w:type="gramEnd"/>
      <w:r w:rsidR="007A2316" w:rsidRPr="00BE59E9">
        <w:t xml:space="preserve"> other matters under the </w:t>
      </w:r>
      <w:r w:rsidR="00D465DD">
        <w:t>Essential Services Commission</w:t>
      </w:r>
      <w:r w:rsidR="007A2316" w:rsidRPr="00BE59E9">
        <w:t xml:space="preserve"> Act to the extent they are relevant in any particular case. </w:t>
      </w:r>
      <w:r w:rsidR="008A275C">
        <w:t>These include:</w:t>
      </w:r>
    </w:p>
    <w:p w14:paraId="26261AF8" w14:textId="77777777" w:rsidR="008A275C" w:rsidRDefault="008A275C" w:rsidP="008A275C">
      <w:pPr>
        <w:pStyle w:val="ListBullet"/>
      </w:pPr>
      <w:r w:rsidRPr="008A275C">
        <w:t>efficiency in the commercial passenger vehicle industry and incentives for long term investment</w:t>
      </w:r>
    </w:p>
    <w:p w14:paraId="02BBFAED" w14:textId="77777777" w:rsidR="008A275C" w:rsidRDefault="008A275C" w:rsidP="008A275C">
      <w:pPr>
        <w:pStyle w:val="ListBullet"/>
      </w:pPr>
      <w:r w:rsidRPr="008A275C">
        <w:lastRenderedPageBreak/>
        <w:t>the financial viability of the industry</w:t>
      </w:r>
    </w:p>
    <w:p w14:paraId="618DB96B" w14:textId="77777777" w:rsidR="008A275C" w:rsidRDefault="008A275C" w:rsidP="008A275C">
      <w:pPr>
        <w:pStyle w:val="ListBullet"/>
      </w:pPr>
      <w:r w:rsidRPr="008A275C">
        <w:t>the degree of, and scope for, competition within the industry</w:t>
      </w:r>
    </w:p>
    <w:p w14:paraId="41B3EA6A" w14:textId="77777777" w:rsidR="008A275C" w:rsidRDefault="008A275C" w:rsidP="008A275C">
      <w:pPr>
        <w:pStyle w:val="ListBullet"/>
      </w:pPr>
      <w:r w:rsidRPr="008A275C">
        <w:t xml:space="preserve">the relevant health, safety, environmental and social legislation applying to the </w:t>
      </w:r>
      <w:proofErr w:type="gramStart"/>
      <w:r w:rsidRPr="008A275C">
        <w:t>industry</w:t>
      </w:r>
      <w:proofErr w:type="gramEnd"/>
    </w:p>
    <w:p w14:paraId="0FD4AA04" w14:textId="7624C4E4" w:rsidR="008A275C" w:rsidRDefault="008A275C" w:rsidP="008A275C">
      <w:pPr>
        <w:pStyle w:val="ListBullet"/>
      </w:pPr>
      <w:r w:rsidRPr="008A275C">
        <w:t>the benefits and costs of regulation for consumers and regulated entities</w:t>
      </w:r>
    </w:p>
    <w:p w14:paraId="28FB6506" w14:textId="6C118F94" w:rsidR="00E90950" w:rsidRDefault="008A275C" w:rsidP="008A275C">
      <w:pPr>
        <w:pStyle w:val="ListBullet"/>
      </w:pPr>
      <w:r w:rsidRPr="008A275C">
        <w:t xml:space="preserve">consistency in regulation between </w:t>
      </w:r>
      <w:r w:rsidR="00311771">
        <w:t>s</w:t>
      </w:r>
      <w:r w:rsidRPr="008A275C">
        <w:t>tates and on a national basis</w:t>
      </w:r>
      <w:r w:rsidR="00A95199">
        <w:t>.</w:t>
      </w:r>
    </w:p>
    <w:p w14:paraId="6B21D87F" w14:textId="77777777" w:rsidR="0082367F" w:rsidRDefault="007A2316" w:rsidP="007A2316">
      <w:r w:rsidRPr="00BE59E9">
        <w:t xml:space="preserve">Under section 33(3) of the </w:t>
      </w:r>
      <w:r w:rsidR="00BA4C01">
        <w:t>Essential Services Commission</w:t>
      </w:r>
      <w:r w:rsidRPr="00BE59E9">
        <w:t xml:space="preserve"> Act, we must also, in </w:t>
      </w:r>
      <w:proofErr w:type="gramStart"/>
      <w:r w:rsidRPr="00BE59E9">
        <w:t>making a determination</w:t>
      </w:r>
      <w:proofErr w:type="gramEnd"/>
      <w:r w:rsidRPr="00BE59E9">
        <w:t xml:space="preserve">, have regard to: </w:t>
      </w:r>
    </w:p>
    <w:p w14:paraId="3E89A498" w14:textId="6AEFC1AF" w:rsidR="00E02F2A" w:rsidRDefault="007A2316" w:rsidP="0082367F">
      <w:pPr>
        <w:pStyle w:val="ListBullet"/>
      </w:pPr>
      <w:r w:rsidRPr="00BE59E9">
        <w:t xml:space="preserve">the </w:t>
      </w:r>
      <w:proofErr w:type="gramStart"/>
      <w:r w:rsidRPr="00BE59E9">
        <w:t>particular circumstances</w:t>
      </w:r>
      <w:proofErr w:type="gramEnd"/>
      <w:r w:rsidRPr="00BE59E9">
        <w:t xml:space="preserve"> of the regulated industry and the prescribed services</w:t>
      </w:r>
    </w:p>
    <w:p w14:paraId="42EC33BE" w14:textId="15650C9D" w:rsidR="000C0C47" w:rsidRDefault="007A2316" w:rsidP="00E02F2A">
      <w:pPr>
        <w:pStyle w:val="ListBullet"/>
      </w:pPr>
      <w:r w:rsidRPr="00BE59E9">
        <w:t xml:space="preserve">the efficient costs of supplying the regulated services and complying with relevant </w:t>
      </w:r>
      <w:proofErr w:type="gramStart"/>
      <w:r w:rsidRPr="00BE59E9">
        <w:t>legislation</w:t>
      </w:r>
      <w:proofErr w:type="gramEnd"/>
    </w:p>
    <w:p w14:paraId="25D7276A" w14:textId="597EBD78" w:rsidR="000C0C47" w:rsidRDefault="007A2316" w:rsidP="00E02F2A">
      <w:pPr>
        <w:pStyle w:val="ListBullet"/>
      </w:pPr>
      <w:r w:rsidRPr="00BE59E9">
        <w:t>the return on assets in the industry</w:t>
      </w:r>
    </w:p>
    <w:p w14:paraId="1F867FCF" w14:textId="2BDD40BF" w:rsidR="000B11B8" w:rsidRDefault="007A2316" w:rsidP="00E02F2A">
      <w:pPr>
        <w:pStyle w:val="ListBullet"/>
      </w:pPr>
      <w:r w:rsidRPr="00BE59E9">
        <w:t>any relevant interstate and international benchmark for prices</w:t>
      </w:r>
    </w:p>
    <w:p w14:paraId="4E083DD2" w14:textId="5754C8C5" w:rsidR="00822703" w:rsidRDefault="007A2316" w:rsidP="00E02F2A">
      <w:pPr>
        <w:pStyle w:val="ListBullet"/>
      </w:pPr>
      <w:r w:rsidRPr="00BE59E9">
        <w:t xml:space="preserve">costs and return on assets in comparable </w:t>
      </w:r>
      <w:proofErr w:type="gramStart"/>
      <w:r w:rsidRPr="00BE59E9">
        <w:t>industries</w:t>
      </w:r>
      <w:proofErr w:type="gramEnd"/>
    </w:p>
    <w:p w14:paraId="179C2203" w14:textId="77777777" w:rsidR="00822703" w:rsidRDefault="007A2316" w:rsidP="00E02F2A">
      <w:pPr>
        <w:pStyle w:val="ListBullet"/>
      </w:pPr>
      <w:r w:rsidRPr="00BE59E9">
        <w:t>any other factors that the commission considers relevant.</w:t>
      </w:r>
      <w:r w:rsidRPr="00BE59E9">
        <w:rPr>
          <w:rFonts w:ascii="Arial" w:eastAsia="Arial" w:hAnsi="Arial" w:cs="Arial"/>
          <w:sz w:val="18"/>
          <w:szCs w:val="18"/>
          <w:vertAlign w:val="superscript"/>
        </w:rPr>
        <w:footnoteReference w:id="46"/>
      </w:r>
      <w:r w:rsidRPr="00BE59E9">
        <w:t xml:space="preserve"> </w:t>
      </w:r>
    </w:p>
    <w:p w14:paraId="3C59BF94" w14:textId="13DCC5C7" w:rsidR="007A2316" w:rsidRPr="00BE59E9" w:rsidRDefault="007A2316" w:rsidP="00822703">
      <w:r w:rsidRPr="00BE59E9">
        <w:t xml:space="preserve">In addition, in </w:t>
      </w:r>
      <w:proofErr w:type="gramStart"/>
      <w:r w:rsidRPr="00BE59E9">
        <w:t>making a determination</w:t>
      </w:r>
      <w:proofErr w:type="gramEnd"/>
      <w:r w:rsidRPr="00BE59E9">
        <w:t>, we must ensure that the expected costs of the proposed regulation do not exceed the expected benefits, and that the determination takes into account and clearly articulates any trade-offs between costs and service standards.</w:t>
      </w:r>
      <w:r w:rsidRPr="00BE59E9">
        <w:rPr>
          <w:rFonts w:ascii="Arial" w:eastAsia="Arial" w:hAnsi="Arial" w:cs="Arial"/>
          <w:sz w:val="18"/>
          <w:szCs w:val="18"/>
          <w:vertAlign w:val="superscript"/>
        </w:rPr>
        <w:footnoteReference w:id="47"/>
      </w:r>
      <w:r w:rsidRPr="00BE59E9">
        <w:t xml:space="preserve"> </w:t>
      </w:r>
    </w:p>
    <w:p w14:paraId="3F2A96BF" w14:textId="051F2EA6" w:rsidR="00485948" w:rsidRDefault="007A2316" w:rsidP="007A2316">
      <w:pPr>
        <w:rPr>
          <w:lang w:val="en-GB"/>
        </w:rPr>
      </w:pPr>
      <w:r w:rsidRPr="00BE59E9">
        <w:rPr>
          <w:rFonts w:ascii="Arial" w:eastAsia="Arial" w:hAnsi="Arial" w:cs="Arial"/>
        </w:rPr>
        <w:t xml:space="preserve">The </w:t>
      </w:r>
      <w:r w:rsidR="00BA4C01">
        <w:rPr>
          <w:rFonts w:ascii="Arial" w:eastAsia="Arial" w:hAnsi="Arial" w:cs="Arial"/>
        </w:rPr>
        <w:t>Transport Integration Act</w:t>
      </w:r>
      <w:r w:rsidRPr="00BE59E9">
        <w:rPr>
          <w:rFonts w:ascii="Arial" w:eastAsia="Arial" w:hAnsi="Arial" w:cs="Arial"/>
        </w:rPr>
        <w:t xml:space="preserve"> requires that we must have regard to the transport system objectives in exercising our powers and performing our functions under any transport legislation.</w:t>
      </w:r>
      <w:r w:rsidRPr="00BE59E9">
        <w:rPr>
          <w:rStyle w:val="FootnoteReference"/>
          <w:rFonts w:ascii="Arial" w:eastAsia="Arial" w:hAnsi="Arial" w:cs="Arial"/>
        </w:rPr>
        <w:footnoteReference w:id="48"/>
      </w:r>
      <w:r w:rsidR="004C0B0E">
        <w:rPr>
          <w:rFonts w:ascii="Arial" w:eastAsia="Arial" w:hAnsi="Arial" w:cs="Arial"/>
        </w:rPr>
        <w:t xml:space="preserve"> </w:t>
      </w:r>
      <w:r w:rsidRPr="00BE59E9">
        <w:rPr>
          <w:lang w:val="en-GB"/>
        </w:rPr>
        <w:t xml:space="preserve">The transport system objectives we must have regard to </w:t>
      </w:r>
      <w:r w:rsidR="00485948">
        <w:rPr>
          <w:lang w:val="en-GB"/>
        </w:rPr>
        <w:t>include:</w:t>
      </w:r>
    </w:p>
    <w:p w14:paraId="7B6CE89C" w14:textId="3AD7875F" w:rsidR="00485948" w:rsidRPr="00FF454A" w:rsidRDefault="007A2316" w:rsidP="00485948">
      <w:pPr>
        <w:pStyle w:val="ListBullet"/>
        <w:rPr>
          <w:rFonts w:ascii="Arial" w:eastAsia="Arial" w:hAnsi="Arial" w:cs="Arial"/>
        </w:rPr>
      </w:pPr>
      <w:r w:rsidRPr="00BE59E9">
        <w:rPr>
          <w:lang w:val="en-GB"/>
        </w:rPr>
        <w:t>social and economic</w:t>
      </w:r>
      <w:r w:rsidRPr="00CD5024">
        <w:rPr>
          <w:lang w:val="en-GB"/>
        </w:rPr>
        <w:t xml:space="preserve"> inclusion</w:t>
      </w:r>
    </w:p>
    <w:p w14:paraId="66954187" w14:textId="7AF97C17" w:rsidR="00485948" w:rsidRPr="00FF454A" w:rsidRDefault="007A2316" w:rsidP="00485948">
      <w:pPr>
        <w:pStyle w:val="ListBullet"/>
        <w:rPr>
          <w:rFonts w:ascii="Arial" w:eastAsia="Arial" w:hAnsi="Arial" w:cs="Arial"/>
        </w:rPr>
      </w:pPr>
      <w:r w:rsidRPr="00CD5024">
        <w:rPr>
          <w:lang w:val="en-GB"/>
        </w:rPr>
        <w:t>economic prosperity</w:t>
      </w:r>
    </w:p>
    <w:p w14:paraId="13DB0C83" w14:textId="3DC5D42E" w:rsidR="00485948" w:rsidRPr="00FF454A" w:rsidRDefault="007A2316" w:rsidP="00485948">
      <w:pPr>
        <w:pStyle w:val="ListBullet"/>
        <w:rPr>
          <w:rFonts w:ascii="Arial" w:eastAsia="Arial" w:hAnsi="Arial" w:cs="Arial"/>
        </w:rPr>
      </w:pPr>
      <w:r w:rsidRPr="00CD5024">
        <w:rPr>
          <w:lang w:val="en-GB"/>
        </w:rPr>
        <w:t>environmental sustainability</w:t>
      </w:r>
    </w:p>
    <w:p w14:paraId="27097DF3" w14:textId="398A78AE" w:rsidR="00485948" w:rsidRPr="00FF454A" w:rsidRDefault="007A2316" w:rsidP="00485948">
      <w:pPr>
        <w:pStyle w:val="ListBullet"/>
        <w:rPr>
          <w:rFonts w:ascii="Arial" w:eastAsia="Arial" w:hAnsi="Arial" w:cs="Arial"/>
        </w:rPr>
      </w:pPr>
      <w:r w:rsidRPr="00CD5024">
        <w:rPr>
          <w:lang w:val="en-GB"/>
        </w:rPr>
        <w:t>integration of transport and land use</w:t>
      </w:r>
    </w:p>
    <w:p w14:paraId="7B632F0F" w14:textId="0392071E" w:rsidR="00485948" w:rsidRPr="00FF454A" w:rsidRDefault="007A2316" w:rsidP="00485948">
      <w:pPr>
        <w:pStyle w:val="ListBullet"/>
        <w:rPr>
          <w:rFonts w:ascii="Arial" w:eastAsia="Arial" w:hAnsi="Arial" w:cs="Arial"/>
        </w:rPr>
      </w:pPr>
      <w:r w:rsidRPr="00CD5024">
        <w:rPr>
          <w:lang w:val="en-GB"/>
        </w:rPr>
        <w:t>efficiency</w:t>
      </w:r>
    </w:p>
    <w:p w14:paraId="45B4296D" w14:textId="30444F84" w:rsidR="00485948" w:rsidRPr="00FF454A" w:rsidRDefault="007A2316" w:rsidP="00485948">
      <w:pPr>
        <w:pStyle w:val="ListBullet"/>
        <w:rPr>
          <w:rFonts w:ascii="Arial" w:eastAsia="Arial" w:hAnsi="Arial" w:cs="Arial"/>
        </w:rPr>
      </w:pPr>
      <w:r w:rsidRPr="00CD5024">
        <w:rPr>
          <w:lang w:val="en-GB"/>
        </w:rPr>
        <w:t>coordination and reliability</w:t>
      </w:r>
    </w:p>
    <w:p w14:paraId="5A17570C" w14:textId="72807923" w:rsidR="007A2316" w:rsidRPr="00B91366" w:rsidRDefault="007A2316" w:rsidP="00747846">
      <w:pPr>
        <w:pStyle w:val="ListBullet"/>
        <w:rPr>
          <w:rFonts w:ascii="Arial" w:eastAsia="Arial" w:hAnsi="Arial" w:cs="Arial"/>
        </w:rPr>
      </w:pPr>
      <w:r w:rsidRPr="00CD5024">
        <w:rPr>
          <w:lang w:val="en-GB"/>
        </w:rPr>
        <w:lastRenderedPageBreak/>
        <w:t>safety and health and wellbeing.</w:t>
      </w:r>
      <w:r w:rsidRPr="00CD5024">
        <w:rPr>
          <w:rStyle w:val="FootnoteReference"/>
          <w:lang w:val="en-GB"/>
        </w:rPr>
        <w:footnoteReference w:id="49"/>
      </w:r>
      <w:r w:rsidRPr="00CD5024">
        <w:rPr>
          <w:lang w:val="en-GB"/>
        </w:rPr>
        <w:t xml:space="preserve"> </w:t>
      </w:r>
    </w:p>
    <w:p w14:paraId="7B270A14" w14:textId="47E014F4" w:rsidR="007A2316" w:rsidRPr="00CD5024" w:rsidRDefault="007A2316" w:rsidP="007A2316">
      <w:r w:rsidRPr="00CD5024">
        <w:rPr>
          <w:rFonts w:ascii="Arial" w:eastAsia="Arial" w:hAnsi="Arial" w:cs="Arial"/>
        </w:rPr>
        <w:t xml:space="preserve">Under the </w:t>
      </w:r>
      <w:r w:rsidRPr="002F6B35">
        <w:rPr>
          <w:rFonts w:ascii="Arial" w:eastAsia="Arial" w:hAnsi="Arial" w:cs="Arial"/>
        </w:rPr>
        <w:t>Transport Integration Act</w:t>
      </w:r>
      <w:r w:rsidRPr="00CD5024">
        <w:rPr>
          <w:rFonts w:ascii="Arial" w:eastAsia="Arial" w:hAnsi="Arial" w:cs="Arial"/>
        </w:rPr>
        <w:t xml:space="preserve">, we must also have regard to </w:t>
      </w:r>
      <w:proofErr w:type="gramStart"/>
      <w:r>
        <w:rPr>
          <w:rFonts w:ascii="Arial" w:eastAsia="Arial" w:hAnsi="Arial" w:cs="Arial"/>
        </w:rPr>
        <w:t>a number of</w:t>
      </w:r>
      <w:proofErr w:type="gramEnd"/>
      <w:r>
        <w:rPr>
          <w:rFonts w:ascii="Arial" w:eastAsia="Arial" w:hAnsi="Arial" w:cs="Arial"/>
        </w:rPr>
        <w:t xml:space="preserve"> </w:t>
      </w:r>
      <w:r w:rsidRPr="00CD5024">
        <w:rPr>
          <w:rFonts w:ascii="Arial" w:eastAsia="Arial" w:hAnsi="Arial" w:cs="Arial"/>
        </w:rPr>
        <w:t>principles</w:t>
      </w:r>
      <w:r>
        <w:rPr>
          <w:rFonts w:ascii="Arial" w:eastAsia="Arial" w:hAnsi="Arial" w:cs="Arial"/>
        </w:rPr>
        <w:t xml:space="preserve"> in making our decisions</w:t>
      </w:r>
      <w:r w:rsidR="004C0B0E">
        <w:rPr>
          <w:rFonts w:ascii="Arial" w:eastAsia="Arial" w:hAnsi="Arial" w:cs="Arial"/>
        </w:rPr>
        <w:t>.</w:t>
      </w:r>
      <w:r w:rsidR="004C0B0E">
        <w:rPr>
          <w:rStyle w:val="FootnoteReference"/>
          <w:rFonts w:ascii="Arial" w:eastAsia="Arial" w:hAnsi="Arial" w:cs="Arial"/>
        </w:rPr>
        <w:footnoteReference w:id="50"/>
      </w:r>
      <w:r w:rsidR="004C0B0E">
        <w:rPr>
          <w:rFonts w:ascii="Arial" w:eastAsia="Arial" w:hAnsi="Arial" w:cs="Arial"/>
        </w:rPr>
        <w:t xml:space="preserve"> </w:t>
      </w:r>
      <w:r w:rsidR="009C13D4">
        <w:t>We</w:t>
      </w:r>
      <w:r w:rsidRPr="00703FB3">
        <w:t xml:space="preserve"> may determine the weight to give to each transport system objective and decision</w:t>
      </w:r>
      <w:r w:rsidR="0031202E">
        <w:t>-</w:t>
      </w:r>
      <w:r w:rsidRPr="00703FB3">
        <w:t>making principle.</w:t>
      </w:r>
      <w:r w:rsidRPr="00703FB3">
        <w:rPr>
          <w:sz w:val="18"/>
          <w:szCs w:val="18"/>
          <w:vertAlign w:val="superscript"/>
        </w:rPr>
        <w:footnoteReference w:id="51"/>
      </w:r>
    </w:p>
    <w:p w14:paraId="544641E5" w14:textId="77777777" w:rsidR="007A2316" w:rsidRDefault="007A2316">
      <w:pPr>
        <w:spacing w:before="0" w:line="259" w:lineRule="auto"/>
        <w:sectPr w:rsidR="007A2316" w:rsidSect="00E81B5C">
          <w:footerReference w:type="default" r:id="rId26"/>
          <w:pgSz w:w="11906" w:h="16838" w:code="9"/>
          <w:pgMar w:top="1134" w:right="1134" w:bottom="1134" w:left="1134" w:header="709" w:footer="692" w:gutter="0"/>
          <w:cols w:space="708"/>
          <w:docGrid w:linePitch="360"/>
        </w:sectPr>
      </w:pPr>
    </w:p>
    <w:p w14:paraId="60F2B1F4" w14:textId="5521B135" w:rsidR="008E45AE" w:rsidRDefault="004D47BA" w:rsidP="004D47BA">
      <w:pPr>
        <w:pStyle w:val="Heading1numbered"/>
      </w:pPr>
      <w:bookmarkStart w:id="71" w:name="_Toc148433377"/>
      <w:r>
        <w:lastRenderedPageBreak/>
        <w:t xml:space="preserve">Appendix B: </w:t>
      </w:r>
      <w:r w:rsidR="00A83436">
        <w:t>Maximum</w:t>
      </w:r>
      <w:r w:rsidR="0014385B">
        <w:t xml:space="preserve"> unbooked taxi fares</w:t>
      </w:r>
      <w:bookmarkEnd w:id="71"/>
    </w:p>
    <w:p w14:paraId="6ED7D8E6" w14:textId="77777777" w:rsidR="0054555A" w:rsidRPr="007C4AC4" w:rsidRDefault="0054555A" w:rsidP="0054555A">
      <w:pPr>
        <w:keepNext/>
        <w:keepLines/>
        <w:spacing w:before="240"/>
        <w:outlineLvl w:val="1"/>
        <w:rPr>
          <w:rFonts w:ascii="Tahoma" w:eastAsia="SimHei" w:hAnsi="Tahoma" w:cs="Arial"/>
          <w:b/>
          <w:sz w:val="26"/>
          <w:szCs w:val="26"/>
        </w:rPr>
      </w:pPr>
      <w:bookmarkStart w:id="72" w:name="_Toc507072067"/>
      <w:r>
        <w:rPr>
          <w:rFonts w:ascii="Tahoma" w:eastAsia="SimHei" w:hAnsi="Tahoma" w:cs="Arial"/>
          <w:b/>
          <w:sz w:val="26"/>
          <w:szCs w:val="26"/>
        </w:rPr>
        <w:t>Melbourne M</w:t>
      </w:r>
      <w:r w:rsidRPr="007C4AC4">
        <w:rPr>
          <w:rFonts w:ascii="Tahoma" w:eastAsia="SimHei" w:hAnsi="Tahoma" w:cs="Arial"/>
          <w:b/>
          <w:sz w:val="26"/>
          <w:szCs w:val="26"/>
        </w:rPr>
        <w:t xml:space="preserve">etropolitan and </w:t>
      </w:r>
      <w:r>
        <w:rPr>
          <w:rFonts w:ascii="Tahoma" w:eastAsia="SimHei" w:hAnsi="Tahoma" w:cs="Arial"/>
          <w:b/>
          <w:sz w:val="26"/>
          <w:szCs w:val="26"/>
        </w:rPr>
        <w:t>u</w:t>
      </w:r>
      <w:r w:rsidRPr="007C4AC4">
        <w:rPr>
          <w:rFonts w:ascii="Tahoma" w:eastAsia="SimHei" w:hAnsi="Tahoma" w:cs="Arial"/>
          <w:b/>
          <w:sz w:val="26"/>
          <w:szCs w:val="26"/>
        </w:rPr>
        <w:t xml:space="preserve">rban </w:t>
      </w:r>
      <w:bookmarkEnd w:id="72"/>
      <w:r>
        <w:rPr>
          <w:rFonts w:ascii="Tahoma" w:eastAsia="SimHei" w:hAnsi="Tahoma" w:cs="Arial"/>
          <w:b/>
          <w:sz w:val="26"/>
          <w:szCs w:val="26"/>
        </w:rPr>
        <w:t>area</w:t>
      </w:r>
    </w:p>
    <w:p w14:paraId="69A8DC0C" w14:textId="2DD66085" w:rsidR="0054555A" w:rsidRPr="007C4AC4" w:rsidRDefault="0054555A" w:rsidP="0054555A">
      <w:pPr>
        <w:keepNext/>
        <w:keepLines/>
        <w:spacing w:before="120" w:after="120"/>
        <w:outlineLvl w:val="2"/>
        <w:rPr>
          <w:rFonts w:ascii="Arial" w:eastAsia="SimHei" w:hAnsi="Arial" w:cs="Arial"/>
          <w:b/>
          <w:color w:val="4986A0"/>
          <w:szCs w:val="24"/>
        </w:rPr>
      </w:pPr>
      <w:r w:rsidRPr="007C4AC4">
        <w:rPr>
          <w:rFonts w:ascii="Arial" w:eastAsia="SimHei" w:hAnsi="Arial" w:cs="Arial"/>
          <w:b/>
          <w:color w:val="4986A0"/>
          <w:szCs w:val="24"/>
        </w:rPr>
        <w:t xml:space="preserve">Table </w:t>
      </w:r>
      <w:r w:rsidR="00CD0D89">
        <w:rPr>
          <w:rFonts w:ascii="Arial" w:eastAsia="SimHei" w:hAnsi="Arial" w:cs="Arial"/>
          <w:b/>
          <w:color w:val="4986A0"/>
          <w:szCs w:val="24"/>
        </w:rPr>
        <w:t>B</w:t>
      </w:r>
      <w:r w:rsidRPr="007C4AC4">
        <w:rPr>
          <w:rFonts w:ascii="Arial" w:eastAsia="SimHei" w:hAnsi="Arial" w:cs="Arial"/>
          <w:b/>
          <w:color w:val="4986A0"/>
          <w:szCs w:val="24"/>
        </w:rPr>
        <w:t xml:space="preserve">.1: </w:t>
      </w:r>
      <w:r>
        <w:rPr>
          <w:rFonts w:ascii="Arial" w:eastAsia="SimHei" w:hAnsi="Arial" w:cs="Arial"/>
          <w:b/>
          <w:color w:val="4986A0"/>
          <w:szCs w:val="24"/>
        </w:rPr>
        <w:t>M</w:t>
      </w:r>
      <w:r w:rsidRPr="007C4AC4">
        <w:rPr>
          <w:rFonts w:ascii="Arial" w:eastAsia="SimHei" w:hAnsi="Arial" w:cs="Arial"/>
          <w:b/>
          <w:color w:val="4986A0"/>
          <w:szCs w:val="24"/>
        </w:rPr>
        <w:t xml:space="preserve">aximum fares for unbooked </w:t>
      </w:r>
      <w:r>
        <w:rPr>
          <w:rFonts w:ascii="Arial" w:eastAsia="SimHei" w:hAnsi="Arial" w:cs="Arial"/>
          <w:b/>
          <w:color w:val="4986A0"/>
          <w:szCs w:val="24"/>
        </w:rPr>
        <w:t>taxi s</w:t>
      </w:r>
      <w:r w:rsidRPr="007C4AC4">
        <w:rPr>
          <w:rFonts w:ascii="Arial" w:eastAsia="SimHei" w:hAnsi="Arial" w:cs="Arial"/>
          <w:b/>
          <w:color w:val="4986A0"/>
          <w:szCs w:val="24"/>
        </w:rPr>
        <w:t xml:space="preserve">ervices that begin in the Melbourne </w:t>
      </w:r>
      <w:r>
        <w:rPr>
          <w:rFonts w:ascii="Arial" w:eastAsia="SimHei" w:hAnsi="Arial" w:cs="Arial"/>
          <w:b/>
          <w:color w:val="4986A0"/>
          <w:szCs w:val="24"/>
        </w:rPr>
        <w:t>M</w:t>
      </w:r>
      <w:r w:rsidRPr="007C4AC4">
        <w:rPr>
          <w:rFonts w:ascii="Arial" w:eastAsia="SimHei" w:hAnsi="Arial" w:cs="Arial"/>
          <w:b/>
          <w:color w:val="4986A0"/>
          <w:szCs w:val="24"/>
        </w:rPr>
        <w:t xml:space="preserve">etropolitan </w:t>
      </w:r>
      <w:r>
        <w:rPr>
          <w:rFonts w:ascii="Arial" w:eastAsia="SimHei" w:hAnsi="Arial" w:cs="Arial"/>
          <w:b/>
          <w:color w:val="4986A0"/>
          <w:szCs w:val="24"/>
        </w:rPr>
        <w:t>Zone or the urban area</w:t>
      </w:r>
      <w:r w:rsidR="00813D80">
        <w:rPr>
          <w:rFonts w:ascii="Arial" w:eastAsia="SimHei" w:hAnsi="Arial" w:cs="Arial"/>
          <w:b/>
          <w:color w:val="4986A0"/>
          <w:szCs w:val="24"/>
        </w:rPr>
        <w:t xml:space="preserve"> (Dandenong, Frankston and the Mornington Peninsula) </w:t>
      </w:r>
      <w:r>
        <w:rPr>
          <w:rFonts w:ascii="Arial" w:eastAsia="SimHei" w:hAnsi="Arial" w:cs="Arial"/>
          <w:b/>
          <w:color w:val="4986A0"/>
          <w:szCs w:val="24"/>
        </w:rPr>
        <w:t>of the U</w:t>
      </w:r>
      <w:r w:rsidRPr="007C4AC4">
        <w:rPr>
          <w:rFonts w:ascii="Arial" w:eastAsia="SimHei" w:hAnsi="Arial" w:cs="Arial"/>
          <w:b/>
          <w:color w:val="4986A0"/>
          <w:szCs w:val="24"/>
        </w:rPr>
        <w:t>rban</w:t>
      </w:r>
      <w:r>
        <w:rPr>
          <w:rFonts w:ascii="Arial" w:eastAsia="SimHei" w:hAnsi="Arial" w:cs="Arial"/>
          <w:b/>
          <w:color w:val="4986A0"/>
          <w:szCs w:val="24"/>
        </w:rPr>
        <w:t xml:space="preserve"> and Large Regional</w:t>
      </w:r>
      <w:r w:rsidRPr="007C4AC4">
        <w:rPr>
          <w:rFonts w:ascii="Arial" w:eastAsia="SimHei" w:hAnsi="Arial" w:cs="Arial"/>
          <w:b/>
          <w:color w:val="4986A0"/>
          <w:szCs w:val="24"/>
        </w:rPr>
        <w:t xml:space="preserve"> </w:t>
      </w:r>
      <w:r>
        <w:rPr>
          <w:rFonts w:ascii="Arial" w:eastAsia="SimHei" w:hAnsi="Arial" w:cs="Arial"/>
          <w:b/>
          <w:color w:val="4986A0"/>
          <w:szCs w:val="24"/>
        </w:rPr>
        <w:t xml:space="preserve">Zone – </w:t>
      </w:r>
      <w:r w:rsidRPr="007C4AC4">
        <w:rPr>
          <w:rFonts w:ascii="Arial" w:eastAsia="SimHei" w:hAnsi="Arial" w:cs="Arial"/>
          <w:b/>
          <w:color w:val="4986A0"/>
          <w:szCs w:val="24"/>
        </w:rPr>
        <w:t xml:space="preserve">‘time </w:t>
      </w:r>
      <w:r w:rsidRPr="007C4AC4">
        <w:rPr>
          <w:rFonts w:ascii="Arial" w:eastAsia="SimHei" w:hAnsi="Arial" w:cs="Arial"/>
          <w:b/>
          <w:color w:val="4986A0"/>
          <w:szCs w:val="24"/>
          <w:u w:val="single"/>
        </w:rPr>
        <w:t>or</w:t>
      </w:r>
      <w:r w:rsidRPr="007C4AC4">
        <w:rPr>
          <w:rFonts w:ascii="Arial" w:eastAsia="SimHei" w:hAnsi="Arial" w:cs="Arial"/>
          <w:b/>
          <w:color w:val="4986A0"/>
          <w:szCs w:val="24"/>
        </w:rPr>
        <w:t xml:space="preserve"> distance’ </w:t>
      </w:r>
      <w:proofErr w:type="gramStart"/>
      <w:r w:rsidRPr="007C4AC4">
        <w:rPr>
          <w:rFonts w:ascii="Arial" w:eastAsia="SimHei" w:hAnsi="Arial" w:cs="Arial"/>
          <w:b/>
          <w:color w:val="4986A0"/>
          <w:szCs w:val="24"/>
        </w:rPr>
        <w:t>tariffs</w:t>
      </w:r>
      <w:proofErr w:type="gramEnd"/>
    </w:p>
    <w:tbl>
      <w:tblPr>
        <w:tblStyle w:val="TwoColumnImage"/>
        <w:tblW w:w="0" w:type="auto"/>
        <w:tblLook w:val="04A0" w:firstRow="1" w:lastRow="0" w:firstColumn="1" w:lastColumn="0" w:noHBand="0" w:noVBand="1"/>
      </w:tblPr>
      <w:tblGrid>
        <w:gridCol w:w="3625"/>
        <w:gridCol w:w="2033"/>
        <w:gridCol w:w="1965"/>
        <w:gridCol w:w="2015"/>
      </w:tblGrid>
      <w:tr w:rsidR="0054555A" w:rsidRPr="007C4AC4" w14:paraId="4A8B300B" w14:textId="77777777">
        <w:tc>
          <w:tcPr>
            <w:tcW w:w="3625" w:type="dxa"/>
            <w:shd w:val="clear" w:color="auto" w:fill="4986A0" w:themeFill="text2"/>
          </w:tcPr>
          <w:p w14:paraId="0E0EB92A" w14:textId="77777777" w:rsidR="0054555A" w:rsidRPr="007C4AC4" w:rsidRDefault="0054555A">
            <w:pPr>
              <w:rPr>
                <w:color w:val="FFFFFF" w:themeColor="background1"/>
                <w:sz w:val="20"/>
                <w:szCs w:val="20"/>
              </w:rPr>
            </w:pPr>
            <w:bookmarkStart w:id="73" w:name="_Toc507072068"/>
          </w:p>
        </w:tc>
        <w:tc>
          <w:tcPr>
            <w:tcW w:w="2033" w:type="dxa"/>
            <w:shd w:val="clear" w:color="auto" w:fill="4986A0" w:themeFill="text2"/>
          </w:tcPr>
          <w:p w14:paraId="65E23CF3" w14:textId="77777777" w:rsidR="0054555A" w:rsidRPr="007C4AC4" w:rsidRDefault="0054555A">
            <w:pPr>
              <w:spacing w:before="0"/>
              <w:rPr>
                <w:b/>
                <w:color w:val="FFFFFF" w:themeColor="background1"/>
                <w:sz w:val="20"/>
                <w:szCs w:val="20"/>
              </w:rPr>
            </w:pPr>
            <w:r w:rsidRPr="007C4AC4">
              <w:rPr>
                <w:b/>
                <w:color w:val="FFFFFF" w:themeColor="background1"/>
                <w:sz w:val="20"/>
                <w:szCs w:val="20"/>
              </w:rPr>
              <w:t>Tariff 1</w:t>
            </w:r>
          </w:p>
          <w:p w14:paraId="33491510" w14:textId="77777777" w:rsidR="0054555A" w:rsidRPr="007C4AC4" w:rsidRDefault="0054555A">
            <w:pPr>
              <w:spacing w:before="0"/>
              <w:rPr>
                <w:b/>
                <w:color w:val="FFFFFF" w:themeColor="background1"/>
                <w:sz w:val="20"/>
                <w:szCs w:val="20"/>
              </w:rPr>
            </w:pPr>
            <w:r w:rsidRPr="007C4AC4">
              <w:rPr>
                <w:b/>
                <w:color w:val="FFFFFF" w:themeColor="background1"/>
                <w:sz w:val="20"/>
                <w:szCs w:val="20"/>
              </w:rPr>
              <w:t>‘Day’</w:t>
            </w:r>
          </w:p>
          <w:p w14:paraId="15B9D80A" w14:textId="77777777" w:rsidR="0054555A" w:rsidRPr="007C4AC4" w:rsidRDefault="0054555A">
            <w:pPr>
              <w:spacing w:before="0"/>
              <w:rPr>
                <w:b/>
                <w:color w:val="FFFFFF" w:themeColor="background1"/>
                <w:sz w:val="20"/>
                <w:szCs w:val="20"/>
              </w:rPr>
            </w:pPr>
            <w:r w:rsidRPr="007C4AC4">
              <w:rPr>
                <w:b/>
                <w:color w:val="FFFFFF" w:themeColor="background1"/>
                <w:sz w:val="20"/>
                <w:szCs w:val="20"/>
              </w:rPr>
              <w:t>(9am</w:t>
            </w:r>
            <w:r w:rsidRPr="00BA2524">
              <w:rPr>
                <w:rFonts w:asciiTheme="majorHAnsi" w:eastAsia="Times New Roman" w:hAnsiTheme="majorHAnsi" w:cstheme="majorHAnsi"/>
                <w:color w:val="FFFFFF" w:themeColor="background1"/>
                <w:lang w:eastAsia="en-AU"/>
              </w:rPr>
              <w:t>–</w:t>
            </w:r>
            <w:r w:rsidRPr="007C4AC4">
              <w:rPr>
                <w:b/>
                <w:color w:val="FFFFFF" w:themeColor="background1"/>
                <w:sz w:val="20"/>
                <w:szCs w:val="20"/>
              </w:rPr>
              <w:t>5pm)</w:t>
            </w:r>
          </w:p>
        </w:tc>
        <w:tc>
          <w:tcPr>
            <w:tcW w:w="1965" w:type="dxa"/>
            <w:shd w:val="clear" w:color="auto" w:fill="4986A0" w:themeFill="text2"/>
          </w:tcPr>
          <w:p w14:paraId="15A1A737" w14:textId="77777777" w:rsidR="0054555A" w:rsidRPr="007C4AC4" w:rsidRDefault="0054555A">
            <w:pPr>
              <w:spacing w:before="0"/>
              <w:rPr>
                <w:b/>
                <w:color w:val="FFFFFF" w:themeColor="background1"/>
                <w:sz w:val="20"/>
                <w:szCs w:val="20"/>
              </w:rPr>
            </w:pPr>
            <w:r w:rsidRPr="007C4AC4">
              <w:rPr>
                <w:b/>
                <w:color w:val="FFFFFF" w:themeColor="background1"/>
                <w:sz w:val="20"/>
                <w:szCs w:val="20"/>
              </w:rPr>
              <w:t>Tariff 2</w:t>
            </w:r>
          </w:p>
          <w:p w14:paraId="7598A991" w14:textId="77777777" w:rsidR="0054555A" w:rsidRPr="007C4AC4" w:rsidRDefault="0054555A">
            <w:pPr>
              <w:spacing w:before="0"/>
              <w:rPr>
                <w:b/>
                <w:color w:val="FFFFFF" w:themeColor="background1"/>
                <w:sz w:val="20"/>
                <w:szCs w:val="20"/>
              </w:rPr>
            </w:pPr>
            <w:r w:rsidRPr="007C4AC4">
              <w:rPr>
                <w:b/>
                <w:color w:val="FFFFFF" w:themeColor="background1"/>
                <w:sz w:val="20"/>
                <w:szCs w:val="20"/>
              </w:rPr>
              <w:t>‘Overnight’</w:t>
            </w:r>
          </w:p>
          <w:p w14:paraId="7CAE0F8A" w14:textId="77777777" w:rsidR="0054555A" w:rsidRPr="007C4AC4" w:rsidRDefault="0054555A">
            <w:pPr>
              <w:spacing w:before="0"/>
              <w:rPr>
                <w:b/>
                <w:color w:val="FFFFFF" w:themeColor="background1"/>
                <w:sz w:val="20"/>
                <w:szCs w:val="20"/>
              </w:rPr>
            </w:pPr>
            <w:r w:rsidRPr="007C4AC4">
              <w:rPr>
                <w:b/>
                <w:color w:val="FFFFFF" w:themeColor="background1"/>
                <w:sz w:val="20"/>
                <w:szCs w:val="20"/>
              </w:rPr>
              <w:t>(5pm</w:t>
            </w:r>
            <w:r w:rsidRPr="00BA2524">
              <w:rPr>
                <w:rFonts w:asciiTheme="majorHAnsi" w:eastAsia="Times New Roman" w:hAnsiTheme="majorHAnsi" w:cstheme="majorHAnsi"/>
                <w:color w:val="FFFFFF" w:themeColor="background1"/>
                <w:lang w:eastAsia="en-AU"/>
              </w:rPr>
              <w:t>–</w:t>
            </w:r>
            <w:r w:rsidRPr="007C4AC4">
              <w:rPr>
                <w:b/>
                <w:color w:val="FFFFFF" w:themeColor="background1"/>
                <w:sz w:val="20"/>
                <w:szCs w:val="20"/>
              </w:rPr>
              <w:t>9am, excluding peak)</w:t>
            </w:r>
          </w:p>
        </w:tc>
        <w:tc>
          <w:tcPr>
            <w:tcW w:w="2015" w:type="dxa"/>
            <w:shd w:val="clear" w:color="auto" w:fill="4986A0" w:themeFill="text2"/>
          </w:tcPr>
          <w:p w14:paraId="3C9728AE" w14:textId="77777777" w:rsidR="0054555A" w:rsidRPr="007C4AC4" w:rsidRDefault="0054555A">
            <w:pPr>
              <w:spacing w:before="0"/>
              <w:rPr>
                <w:b/>
                <w:color w:val="FFFFFF" w:themeColor="background1"/>
                <w:sz w:val="20"/>
                <w:szCs w:val="20"/>
              </w:rPr>
            </w:pPr>
            <w:r w:rsidRPr="007C4AC4">
              <w:rPr>
                <w:b/>
                <w:color w:val="FFFFFF" w:themeColor="background1"/>
                <w:sz w:val="20"/>
                <w:szCs w:val="20"/>
              </w:rPr>
              <w:t>Tariff 3</w:t>
            </w:r>
          </w:p>
          <w:p w14:paraId="0E006552" w14:textId="77777777" w:rsidR="0054555A" w:rsidRPr="007C4AC4" w:rsidRDefault="0054555A">
            <w:pPr>
              <w:spacing w:before="0"/>
              <w:rPr>
                <w:b/>
                <w:color w:val="FFFFFF" w:themeColor="background1"/>
                <w:sz w:val="20"/>
                <w:szCs w:val="20"/>
              </w:rPr>
            </w:pPr>
            <w:r w:rsidRPr="007C4AC4">
              <w:rPr>
                <w:b/>
                <w:color w:val="FFFFFF" w:themeColor="background1"/>
                <w:sz w:val="20"/>
                <w:szCs w:val="20"/>
              </w:rPr>
              <w:t>‘Peak’</w:t>
            </w:r>
          </w:p>
          <w:p w14:paraId="403BA08E" w14:textId="77777777" w:rsidR="0054555A" w:rsidRPr="007C4AC4" w:rsidRDefault="0054555A">
            <w:pPr>
              <w:spacing w:before="0"/>
              <w:rPr>
                <w:b/>
                <w:color w:val="FFFFFF" w:themeColor="background1"/>
                <w:sz w:val="20"/>
                <w:szCs w:val="20"/>
              </w:rPr>
            </w:pPr>
            <w:r w:rsidRPr="007C4AC4">
              <w:rPr>
                <w:b/>
                <w:color w:val="FFFFFF" w:themeColor="background1"/>
                <w:sz w:val="20"/>
                <w:szCs w:val="20"/>
              </w:rPr>
              <w:t>(Fri &amp; Sat nights 10pm</w:t>
            </w:r>
            <w:r w:rsidRPr="00BA2524">
              <w:rPr>
                <w:rFonts w:asciiTheme="majorHAnsi" w:eastAsia="Times New Roman" w:hAnsiTheme="majorHAnsi" w:cstheme="majorHAnsi"/>
                <w:color w:val="FFFFFF" w:themeColor="background1"/>
                <w:lang w:eastAsia="en-AU"/>
              </w:rPr>
              <w:t>–</w:t>
            </w:r>
            <w:r w:rsidRPr="007C4AC4">
              <w:rPr>
                <w:b/>
                <w:color w:val="FFFFFF" w:themeColor="background1"/>
                <w:sz w:val="20"/>
                <w:szCs w:val="20"/>
              </w:rPr>
              <w:t>4am)</w:t>
            </w:r>
          </w:p>
        </w:tc>
      </w:tr>
      <w:tr w:rsidR="0054555A" w:rsidRPr="007C4AC4" w14:paraId="21B0FBB0" w14:textId="77777777">
        <w:tc>
          <w:tcPr>
            <w:tcW w:w="3625" w:type="dxa"/>
            <w:shd w:val="clear" w:color="auto" w:fill="E3E3E4" w:themeFill="background2" w:themeFillTint="33"/>
          </w:tcPr>
          <w:p w14:paraId="58BEE246" w14:textId="77777777" w:rsidR="0054555A" w:rsidRPr="007C4AC4" w:rsidRDefault="0054555A">
            <w:pPr>
              <w:rPr>
                <w:b/>
                <w:sz w:val="20"/>
                <w:szCs w:val="20"/>
              </w:rPr>
            </w:pPr>
            <w:r w:rsidRPr="007C4AC4">
              <w:rPr>
                <w:b/>
                <w:sz w:val="20"/>
                <w:szCs w:val="20"/>
              </w:rPr>
              <w:t>Standard fare components</w:t>
            </w:r>
          </w:p>
        </w:tc>
        <w:tc>
          <w:tcPr>
            <w:tcW w:w="6013" w:type="dxa"/>
            <w:gridSpan w:val="3"/>
            <w:shd w:val="clear" w:color="auto" w:fill="E3E3E4" w:themeFill="background2" w:themeFillTint="33"/>
          </w:tcPr>
          <w:p w14:paraId="2DFB6DD3" w14:textId="77777777" w:rsidR="0054555A" w:rsidRPr="007C4AC4" w:rsidRDefault="0054555A">
            <w:pPr>
              <w:rPr>
                <w:b/>
                <w:sz w:val="20"/>
                <w:szCs w:val="20"/>
              </w:rPr>
            </w:pPr>
            <w:r w:rsidRPr="007C4AC4">
              <w:rPr>
                <w:b/>
                <w:sz w:val="20"/>
                <w:szCs w:val="20"/>
              </w:rPr>
              <w:t>Maximum charge up to</w:t>
            </w:r>
          </w:p>
        </w:tc>
      </w:tr>
      <w:tr w:rsidR="0054555A" w:rsidRPr="007C4AC4" w14:paraId="2C87A0E1" w14:textId="77777777">
        <w:tc>
          <w:tcPr>
            <w:tcW w:w="3625" w:type="dxa"/>
            <w:shd w:val="clear" w:color="auto" w:fill="F2F2F2" w:themeFill="background1" w:themeFillShade="F2"/>
          </w:tcPr>
          <w:p w14:paraId="1DB46615" w14:textId="77777777" w:rsidR="0054555A" w:rsidRPr="001A6F55" w:rsidRDefault="0054555A">
            <w:pPr>
              <w:rPr>
                <w:sz w:val="20"/>
                <w:szCs w:val="20"/>
              </w:rPr>
            </w:pPr>
            <w:r w:rsidRPr="001A6F55">
              <w:rPr>
                <w:sz w:val="20"/>
                <w:szCs w:val="20"/>
              </w:rPr>
              <w:t>Flagfall ($)</w:t>
            </w:r>
          </w:p>
        </w:tc>
        <w:tc>
          <w:tcPr>
            <w:tcW w:w="2033" w:type="dxa"/>
            <w:shd w:val="clear" w:color="auto" w:fill="F2F2F2" w:themeFill="background1" w:themeFillShade="F2"/>
          </w:tcPr>
          <w:p w14:paraId="2CBCF09F" w14:textId="58B03A37" w:rsidR="0054555A" w:rsidRPr="001A6F55" w:rsidRDefault="0054555A">
            <w:pPr>
              <w:rPr>
                <w:sz w:val="20"/>
                <w:szCs w:val="20"/>
              </w:rPr>
            </w:pPr>
            <w:r>
              <w:rPr>
                <w:sz w:val="20"/>
                <w:szCs w:val="20"/>
              </w:rPr>
              <w:t>$</w:t>
            </w:r>
            <w:r w:rsidRPr="001A6F55">
              <w:rPr>
                <w:sz w:val="20"/>
                <w:szCs w:val="20"/>
              </w:rPr>
              <w:t>4.</w:t>
            </w:r>
            <w:r w:rsidR="00ED754C">
              <w:rPr>
                <w:sz w:val="20"/>
                <w:szCs w:val="20"/>
              </w:rPr>
              <w:t>8</w:t>
            </w:r>
            <w:r w:rsidRPr="001A6F55">
              <w:rPr>
                <w:sz w:val="20"/>
                <w:szCs w:val="20"/>
              </w:rPr>
              <w:t>5</w:t>
            </w:r>
          </w:p>
        </w:tc>
        <w:tc>
          <w:tcPr>
            <w:tcW w:w="1965" w:type="dxa"/>
            <w:shd w:val="clear" w:color="auto" w:fill="F2F2F2" w:themeFill="background1" w:themeFillShade="F2"/>
          </w:tcPr>
          <w:p w14:paraId="6767D80E" w14:textId="117AE23C" w:rsidR="0054555A" w:rsidRPr="001A6F55" w:rsidRDefault="0054555A">
            <w:pPr>
              <w:rPr>
                <w:sz w:val="20"/>
                <w:szCs w:val="20"/>
              </w:rPr>
            </w:pPr>
            <w:r>
              <w:rPr>
                <w:sz w:val="20"/>
                <w:szCs w:val="20"/>
              </w:rPr>
              <w:t>$</w:t>
            </w:r>
            <w:r w:rsidR="00ED754C">
              <w:rPr>
                <w:sz w:val="20"/>
                <w:szCs w:val="20"/>
              </w:rPr>
              <w:t>6</w:t>
            </w:r>
            <w:r w:rsidRPr="001A6F55">
              <w:rPr>
                <w:sz w:val="20"/>
                <w:szCs w:val="20"/>
              </w:rPr>
              <w:t>.0</w:t>
            </w:r>
            <w:r w:rsidR="00ED754C">
              <w:rPr>
                <w:sz w:val="20"/>
                <w:szCs w:val="20"/>
              </w:rPr>
              <w:t>5</w:t>
            </w:r>
          </w:p>
        </w:tc>
        <w:tc>
          <w:tcPr>
            <w:tcW w:w="2015" w:type="dxa"/>
            <w:shd w:val="clear" w:color="auto" w:fill="F2F2F2" w:themeFill="background1" w:themeFillShade="F2"/>
          </w:tcPr>
          <w:p w14:paraId="15D87831" w14:textId="6BFA5123" w:rsidR="0054555A" w:rsidRPr="001A6F55" w:rsidRDefault="0054555A">
            <w:pPr>
              <w:rPr>
                <w:sz w:val="20"/>
                <w:szCs w:val="20"/>
              </w:rPr>
            </w:pPr>
            <w:r>
              <w:rPr>
                <w:sz w:val="20"/>
                <w:szCs w:val="20"/>
              </w:rPr>
              <w:t>$</w:t>
            </w:r>
            <w:r w:rsidR="00ED754C">
              <w:rPr>
                <w:sz w:val="20"/>
                <w:szCs w:val="20"/>
              </w:rPr>
              <w:t>7</w:t>
            </w:r>
            <w:r w:rsidRPr="001A6F55">
              <w:rPr>
                <w:sz w:val="20"/>
                <w:szCs w:val="20"/>
              </w:rPr>
              <w:t>.</w:t>
            </w:r>
            <w:r w:rsidR="00ED754C">
              <w:rPr>
                <w:sz w:val="20"/>
                <w:szCs w:val="20"/>
              </w:rPr>
              <w:t>2</w:t>
            </w:r>
            <w:r w:rsidRPr="001A6F55">
              <w:rPr>
                <w:sz w:val="20"/>
                <w:szCs w:val="20"/>
              </w:rPr>
              <w:t>0</w:t>
            </w:r>
          </w:p>
        </w:tc>
      </w:tr>
      <w:tr w:rsidR="0054555A" w:rsidRPr="007C4AC4" w14:paraId="3F06A563" w14:textId="77777777">
        <w:tc>
          <w:tcPr>
            <w:tcW w:w="3625" w:type="dxa"/>
            <w:shd w:val="clear" w:color="auto" w:fill="F2F2F2" w:themeFill="background1" w:themeFillShade="F2"/>
          </w:tcPr>
          <w:p w14:paraId="6A33B09A" w14:textId="77777777" w:rsidR="0054555A" w:rsidRPr="001A6F55" w:rsidRDefault="0054555A">
            <w:pPr>
              <w:spacing w:before="0"/>
              <w:rPr>
                <w:sz w:val="20"/>
                <w:szCs w:val="20"/>
              </w:rPr>
            </w:pPr>
            <w:r w:rsidRPr="001A6F55">
              <w:rPr>
                <w:sz w:val="20"/>
                <w:szCs w:val="20"/>
              </w:rPr>
              <w:t>Distance rate ($/km)</w:t>
            </w:r>
          </w:p>
          <w:p w14:paraId="5C0AEE1E" w14:textId="77777777" w:rsidR="0054555A" w:rsidRPr="001A6F55" w:rsidRDefault="0054555A">
            <w:pPr>
              <w:spacing w:before="0"/>
              <w:rPr>
                <w:sz w:val="20"/>
                <w:szCs w:val="20"/>
              </w:rPr>
            </w:pPr>
            <w:r w:rsidRPr="001A6F55">
              <w:rPr>
                <w:sz w:val="20"/>
                <w:szCs w:val="20"/>
              </w:rPr>
              <w:t>(</w:t>
            </w:r>
            <w:proofErr w:type="gramStart"/>
            <w:r w:rsidRPr="001A6F55">
              <w:rPr>
                <w:sz w:val="20"/>
                <w:szCs w:val="20"/>
              </w:rPr>
              <w:t>when</w:t>
            </w:r>
            <w:proofErr w:type="gramEnd"/>
            <w:r w:rsidRPr="001A6F55">
              <w:rPr>
                <w:sz w:val="20"/>
                <w:szCs w:val="20"/>
              </w:rPr>
              <w:t xml:space="preserve"> speed is above 21 km/hr)</w:t>
            </w:r>
          </w:p>
        </w:tc>
        <w:tc>
          <w:tcPr>
            <w:tcW w:w="2033" w:type="dxa"/>
            <w:shd w:val="clear" w:color="auto" w:fill="F2F2F2" w:themeFill="background1" w:themeFillShade="F2"/>
          </w:tcPr>
          <w:p w14:paraId="2A5DDD80" w14:textId="3BD5BFCC" w:rsidR="0054555A" w:rsidRPr="001A6F55" w:rsidRDefault="0054555A">
            <w:pPr>
              <w:rPr>
                <w:sz w:val="20"/>
                <w:szCs w:val="20"/>
              </w:rPr>
            </w:pPr>
            <w:r>
              <w:rPr>
                <w:sz w:val="20"/>
                <w:szCs w:val="20"/>
              </w:rPr>
              <w:t>$</w:t>
            </w:r>
            <w:r w:rsidRPr="001A6F55">
              <w:rPr>
                <w:sz w:val="20"/>
                <w:szCs w:val="20"/>
              </w:rPr>
              <w:t>1.8</w:t>
            </w:r>
            <w:r w:rsidR="00ED754C">
              <w:rPr>
                <w:sz w:val="20"/>
                <w:szCs w:val="20"/>
              </w:rPr>
              <w:t>78</w:t>
            </w:r>
          </w:p>
        </w:tc>
        <w:tc>
          <w:tcPr>
            <w:tcW w:w="1965" w:type="dxa"/>
            <w:shd w:val="clear" w:color="auto" w:fill="F2F2F2" w:themeFill="background1" w:themeFillShade="F2"/>
          </w:tcPr>
          <w:p w14:paraId="6E0740DA" w14:textId="26289FF2" w:rsidR="0054555A" w:rsidRPr="001A6F55" w:rsidRDefault="0054555A">
            <w:pPr>
              <w:rPr>
                <w:sz w:val="20"/>
                <w:szCs w:val="20"/>
              </w:rPr>
            </w:pPr>
            <w:r>
              <w:rPr>
                <w:sz w:val="20"/>
                <w:szCs w:val="20"/>
              </w:rPr>
              <w:t>$</w:t>
            </w:r>
            <w:r w:rsidRPr="001A6F55">
              <w:rPr>
                <w:sz w:val="20"/>
                <w:szCs w:val="20"/>
              </w:rPr>
              <w:t>2.0</w:t>
            </w:r>
            <w:r w:rsidR="00ED754C">
              <w:rPr>
                <w:sz w:val="20"/>
                <w:szCs w:val="20"/>
              </w:rPr>
              <w:t>88</w:t>
            </w:r>
          </w:p>
        </w:tc>
        <w:tc>
          <w:tcPr>
            <w:tcW w:w="2015" w:type="dxa"/>
            <w:shd w:val="clear" w:color="auto" w:fill="F2F2F2" w:themeFill="background1" w:themeFillShade="F2"/>
          </w:tcPr>
          <w:p w14:paraId="274FE4BB" w14:textId="6AC8C879" w:rsidR="0054555A" w:rsidRPr="001A6F55" w:rsidRDefault="0054555A">
            <w:pPr>
              <w:rPr>
                <w:sz w:val="20"/>
                <w:szCs w:val="20"/>
              </w:rPr>
            </w:pPr>
            <w:r>
              <w:rPr>
                <w:sz w:val="20"/>
                <w:szCs w:val="20"/>
              </w:rPr>
              <w:t>$</w:t>
            </w:r>
            <w:r w:rsidRPr="001A6F55">
              <w:rPr>
                <w:sz w:val="20"/>
                <w:szCs w:val="20"/>
              </w:rPr>
              <w:t>2.2</w:t>
            </w:r>
            <w:r w:rsidR="00ED754C">
              <w:rPr>
                <w:sz w:val="20"/>
                <w:szCs w:val="20"/>
              </w:rPr>
              <w:t>99</w:t>
            </w:r>
          </w:p>
        </w:tc>
      </w:tr>
      <w:tr w:rsidR="0054555A" w:rsidRPr="007C4AC4" w14:paraId="2725A921" w14:textId="77777777">
        <w:tc>
          <w:tcPr>
            <w:tcW w:w="3625" w:type="dxa"/>
            <w:shd w:val="clear" w:color="auto" w:fill="F2F2F2" w:themeFill="background1" w:themeFillShade="F2"/>
          </w:tcPr>
          <w:p w14:paraId="7D039D6E" w14:textId="6C454932" w:rsidR="0054555A" w:rsidRPr="001A6F55" w:rsidRDefault="004D7FF6">
            <w:pPr>
              <w:spacing w:before="0"/>
              <w:rPr>
                <w:sz w:val="20"/>
                <w:szCs w:val="20"/>
              </w:rPr>
            </w:pPr>
            <w:r>
              <w:rPr>
                <w:sz w:val="20"/>
                <w:szCs w:val="20"/>
              </w:rPr>
              <w:t>De</w:t>
            </w:r>
            <w:r w:rsidR="007D0075">
              <w:rPr>
                <w:sz w:val="20"/>
                <w:szCs w:val="20"/>
              </w:rPr>
              <w:t>tention</w:t>
            </w:r>
            <w:r w:rsidR="0054555A" w:rsidRPr="001A6F55">
              <w:rPr>
                <w:sz w:val="20"/>
                <w:szCs w:val="20"/>
              </w:rPr>
              <w:t xml:space="preserve"> </w:t>
            </w:r>
            <w:r w:rsidR="000840C7">
              <w:rPr>
                <w:sz w:val="20"/>
                <w:szCs w:val="20"/>
              </w:rPr>
              <w:t>rate</w:t>
            </w:r>
            <w:r w:rsidR="0054555A" w:rsidRPr="001A6F55">
              <w:rPr>
                <w:sz w:val="20"/>
                <w:szCs w:val="20"/>
              </w:rPr>
              <w:t xml:space="preserve"> ($/min)</w:t>
            </w:r>
          </w:p>
          <w:p w14:paraId="0EBB7655" w14:textId="77777777" w:rsidR="0054555A" w:rsidRPr="001A6F55" w:rsidRDefault="0054555A">
            <w:pPr>
              <w:spacing w:before="0"/>
              <w:rPr>
                <w:sz w:val="20"/>
                <w:szCs w:val="20"/>
              </w:rPr>
            </w:pPr>
            <w:r w:rsidRPr="001A6F55">
              <w:rPr>
                <w:sz w:val="20"/>
                <w:szCs w:val="20"/>
              </w:rPr>
              <w:t>(</w:t>
            </w:r>
            <w:proofErr w:type="gramStart"/>
            <w:r w:rsidRPr="001A6F55">
              <w:rPr>
                <w:sz w:val="20"/>
                <w:szCs w:val="20"/>
              </w:rPr>
              <w:t>when</w:t>
            </w:r>
            <w:proofErr w:type="gramEnd"/>
            <w:r w:rsidRPr="001A6F55">
              <w:rPr>
                <w:sz w:val="20"/>
                <w:szCs w:val="20"/>
              </w:rPr>
              <w:t xml:space="preserve"> speed is below 21 km/hr)</w:t>
            </w:r>
          </w:p>
        </w:tc>
        <w:tc>
          <w:tcPr>
            <w:tcW w:w="2033" w:type="dxa"/>
            <w:shd w:val="clear" w:color="auto" w:fill="F2F2F2" w:themeFill="background1" w:themeFillShade="F2"/>
          </w:tcPr>
          <w:p w14:paraId="48B7479C" w14:textId="110C097B" w:rsidR="0054555A" w:rsidRPr="001A6F55" w:rsidRDefault="0054555A">
            <w:pPr>
              <w:rPr>
                <w:sz w:val="20"/>
                <w:szCs w:val="20"/>
              </w:rPr>
            </w:pPr>
            <w:r>
              <w:rPr>
                <w:sz w:val="20"/>
                <w:szCs w:val="20"/>
              </w:rPr>
              <w:t>$</w:t>
            </w:r>
            <w:r w:rsidRPr="001A6F55">
              <w:rPr>
                <w:sz w:val="20"/>
                <w:szCs w:val="20"/>
              </w:rPr>
              <w:t>0.6</w:t>
            </w:r>
            <w:r w:rsidR="00ED754C">
              <w:rPr>
                <w:sz w:val="20"/>
                <w:szCs w:val="20"/>
              </w:rPr>
              <w:t>58</w:t>
            </w:r>
          </w:p>
        </w:tc>
        <w:tc>
          <w:tcPr>
            <w:tcW w:w="1965" w:type="dxa"/>
            <w:shd w:val="clear" w:color="auto" w:fill="F2F2F2" w:themeFill="background1" w:themeFillShade="F2"/>
          </w:tcPr>
          <w:p w14:paraId="3A43165F" w14:textId="69D47BF0" w:rsidR="0054555A" w:rsidRPr="001A6F55" w:rsidRDefault="0054555A">
            <w:pPr>
              <w:rPr>
                <w:sz w:val="20"/>
                <w:szCs w:val="20"/>
              </w:rPr>
            </w:pPr>
            <w:r>
              <w:rPr>
                <w:sz w:val="20"/>
                <w:szCs w:val="20"/>
              </w:rPr>
              <w:t>$</w:t>
            </w:r>
            <w:r w:rsidRPr="001A6F55">
              <w:rPr>
                <w:sz w:val="20"/>
                <w:szCs w:val="20"/>
              </w:rPr>
              <w:t>0.7</w:t>
            </w:r>
            <w:r w:rsidR="00ED754C">
              <w:rPr>
                <w:sz w:val="20"/>
                <w:szCs w:val="20"/>
              </w:rPr>
              <w:t>31</w:t>
            </w:r>
          </w:p>
        </w:tc>
        <w:tc>
          <w:tcPr>
            <w:tcW w:w="2015" w:type="dxa"/>
            <w:shd w:val="clear" w:color="auto" w:fill="F2F2F2" w:themeFill="background1" w:themeFillShade="F2"/>
          </w:tcPr>
          <w:p w14:paraId="3ABE072A" w14:textId="65607080" w:rsidR="0054555A" w:rsidRPr="001A6F55" w:rsidRDefault="0054555A">
            <w:pPr>
              <w:rPr>
                <w:sz w:val="20"/>
                <w:szCs w:val="20"/>
              </w:rPr>
            </w:pPr>
            <w:r>
              <w:rPr>
                <w:sz w:val="20"/>
                <w:szCs w:val="20"/>
              </w:rPr>
              <w:t>$</w:t>
            </w:r>
            <w:r w:rsidRPr="001A6F55">
              <w:rPr>
                <w:sz w:val="20"/>
                <w:szCs w:val="20"/>
              </w:rPr>
              <w:t>0.</w:t>
            </w:r>
            <w:r w:rsidR="00ED754C">
              <w:rPr>
                <w:sz w:val="20"/>
                <w:szCs w:val="20"/>
              </w:rPr>
              <w:t>805</w:t>
            </w:r>
          </w:p>
        </w:tc>
      </w:tr>
      <w:tr w:rsidR="0054555A" w:rsidRPr="007C4AC4" w14:paraId="3F24E4CB" w14:textId="77777777">
        <w:tc>
          <w:tcPr>
            <w:tcW w:w="7623" w:type="dxa"/>
            <w:gridSpan w:val="3"/>
            <w:shd w:val="clear" w:color="auto" w:fill="E3E3E4" w:themeFill="background2" w:themeFillTint="33"/>
          </w:tcPr>
          <w:p w14:paraId="6AD62CC7" w14:textId="77777777" w:rsidR="0054555A" w:rsidRPr="001A6F55" w:rsidRDefault="0054555A">
            <w:pPr>
              <w:rPr>
                <w:b/>
                <w:sz w:val="20"/>
                <w:szCs w:val="20"/>
              </w:rPr>
            </w:pPr>
            <w:r w:rsidRPr="001A6F55">
              <w:rPr>
                <w:b/>
                <w:sz w:val="20"/>
                <w:szCs w:val="20"/>
              </w:rPr>
              <w:t>Other fare components (applicable to tariffs 1, 2 and 3)</w:t>
            </w:r>
          </w:p>
        </w:tc>
        <w:tc>
          <w:tcPr>
            <w:tcW w:w="2015" w:type="dxa"/>
            <w:shd w:val="clear" w:color="auto" w:fill="E3E3E4" w:themeFill="background2" w:themeFillTint="33"/>
          </w:tcPr>
          <w:p w14:paraId="3580CDAC" w14:textId="77777777" w:rsidR="0054555A" w:rsidRPr="001A6F55" w:rsidRDefault="0054555A">
            <w:pPr>
              <w:spacing w:before="0"/>
              <w:rPr>
                <w:b/>
                <w:sz w:val="20"/>
                <w:szCs w:val="20"/>
              </w:rPr>
            </w:pPr>
            <w:r w:rsidRPr="001A6F55">
              <w:rPr>
                <w:b/>
                <w:sz w:val="20"/>
                <w:szCs w:val="20"/>
              </w:rPr>
              <w:t xml:space="preserve">Maximum </w:t>
            </w:r>
          </w:p>
          <w:p w14:paraId="295F113C" w14:textId="77777777" w:rsidR="0054555A" w:rsidRPr="001A6F55" w:rsidRDefault="0054555A">
            <w:pPr>
              <w:spacing w:before="0"/>
              <w:rPr>
                <w:b/>
                <w:sz w:val="20"/>
                <w:szCs w:val="20"/>
              </w:rPr>
            </w:pPr>
            <w:r w:rsidRPr="001A6F55">
              <w:rPr>
                <w:b/>
                <w:sz w:val="20"/>
                <w:szCs w:val="20"/>
              </w:rPr>
              <w:t>charge up to</w:t>
            </w:r>
          </w:p>
        </w:tc>
      </w:tr>
      <w:tr w:rsidR="0054555A" w:rsidRPr="007C4AC4" w14:paraId="3F4520F3" w14:textId="77777777">
        <w:tc>
          <w:tcPr>
            <w:tcW w:w="3625" w:type="dxa"/>
            <w:shd w:val="clear" w:color="auto" w:fill="F2F2F2" w:themeFill="background1" w:themeFillShade="F2"/>
          </w:tcPr>
          <w:p w14:paraId="056A09DB" w14:textId="58B4895A" w:rsidR="0054555A" w:rsidRPr="001A6F55" w:rsidRDefault="0054555A">
            <w:pPr>
              <w:rPr>
                <w:sz w:val="20"/>
                <w:szCs w:val="20"/>
              </w:rPr>
            </w:pPr>
            <w:r w:rsidRPr="001A6F55">
              <w:rPr>
                <w:sz w:val="20"/>
                <w:szCs w:val="20"/>
              </w:rPr>
              <w:t xml:space="preserve">High occupancy fee </w:t>
            </w:r>
            <w:r w:rsidRPr="00E5483A">
              <w:rPr>
                <w:b/>
                <w:bCs/>
                <w:sz w:val="20"/>
                <w:szCs w:val="20"/>
                <w:vertAlign w:val="superscript"/>
              </w:rPr>
              <w:t>a</w:t>
            </w:r>
          </w:p>
        </w:tc>
        <w:tc>
          <w:tcPr>
            <w:tcW w:w="3998" w:type="dxa"/>
            <w:gridSpan w:val="2"/>
            <w:shd w:val="clear" w:color="auto" w:fill="F2F2F2" w:themeFill="background1" w:themeFillShade="F2"/>
          </w:tcPr>
          <w:p w14:paraId="5008BC52" w14:textId="77777777" w:rsidR="0054555A" w:rsidRPr="001A6F55" w:rsidRDefault="0054555A">
            <w:pPr>
              <w:spacing w:before="0"/>
              <w:rPr>
                <w:sz w:val="20"/>
                <w:szCs w:val="20"/>
              </w:rPr>
            </w:pPr>
          </w:p>
        </w:tc>
        <w:tc>
          <w:tcPr>
            <w:tcW w:w="2015" w:type="dxa"/>
            <w:shd w:val="clear" w:color="auto" w:fill="F2F2F2" w:themeFill="background1" w:themeFillShade="F2"/>
            <w:vAlign w:val="center"/>
          </w:tcPr>
          <w:p w14:paraId="7A2D849B" w14:textId="78EB2D4E" w:rsidR="0054555A" w:rsidRPr="001A6F55" w:rsidRDefault="0054555A">
            <w:pPr>
              <w:rPr>
                <w:sz w:val="20"/>
                <w:szCs w:val="20"/>
              </w:rPr>
            </w:pPr>
            <w:r w:rsidRPr="001A6F55">
              <w:rPr>
                <w:sz w:val="20"/>
                <w:szCs w:val="20"/>
              </w:rPr>
              <w:t>$1</w:t>
            </w:r>
            <w:r w:rsidR="00ED754C">
              <w:rPr>
                <w:sz w:val="20"/>
                <w:szCs w:val="20"/>
              </w:rPr>
              <w:t>6</w:t>
            </w:r>
            <w:r w:rsidRPr="001A6F55">
              <w:rPr>
                <w:sz w:val="20"/>
                <w:szCs w:val="20"/>
              </w:rPr>
              <w:t>.</w:t>
            </w:r>
            <w:r w:rsidR="00ED754C">
              <w:rPr>
                <w:sz w:val="20"/>
                <w:szCs w:val="20"/>
              </w:rPr>
              <w:t>35</w:t>
            </w:r>
          </w:p>
        </w:tc>
      </w:tr>
      <w:tr w:rsidR="0054555A" w:rsidRPr="007C4AC4" w14:paraId="4E465744" w14:textId="77777777">
        <w:tc>
          <w:tcPr>
            <w:tcW w:w="3625" w:type="dxa"/>
            <w:shd w:val="clear" w:color="auto" w:fill="F2F2F2" w:themeFill="background1" w:themeFillShade="F2"/>
          </w:tcPr>
          <w:p w14:paraId="5A0DE0D1" w14:textId="029D4579" w:rsidR="0054555A" w:rsidRPr="007C4AC4" w:rsidRDefault="0054555A">
            <w:pPr>
              <w:rPr>
                <w:sz w:val="20"/>
                <w:szCs w:val="20"/>
              </w:rPr>
            </w:pPr>
            <w:r w:rsidRPr="007C4AC4">
              <w:rPr>
                <w:sz w:val="20"/>
                <w:szCs w:val="20"/>
              </w:rPr>
              <w:t xml:space="preserve">Airport </w:t>
            </w:r>
            <w:r>
              <w:rPr>
                <w:sz w:val="20"/>
                <w:szCs w:val="20"/>
              </w:rPr>
              <w:t xml:space="preserve">taxi </w:t>
            </w:r>
            <w:r w:rsidRPr="007C4AC4">
              <w:rPr>
                <w:sz w:val="20"/>
                <w:szCs w:val="20"/>
              </w:rPr>
              <w:t xml:space="preserve">rank fee </w:t>
            </w:r>
            <w:r w:rsidRPr="00E5483A">
              <w:rPr>
                <w:b/>
                <w:bCs/>
                <w:sz w:val="20"/>
                <w:szCs w:val="20"/>
                <w:vertAlign w:val="superscript"/>
              </w:rPr>
              <w:t>b</w:t>
            </w:r>
          </w:p>
        </w:tc>
        <w:tc>
          <w:tcPr>
            <w:tcW w:w="3998" w:type="dxa"/>
            <w:gridSpan w:val="2"/>
            <w:shd w:val="clear" w:color="auto" w:fill="F2F2F2" w:themeFill="background1" w:themeFillShade="F2"/>
          </w:tcPr>
          <w:p w14:paraId="6176AA42" w14:textId="77777777" w:rsidR="0054555A" w:rsidRPr="007C4AC4" w:rsidRDefault="0054555A">
            <w:pPr>
              <w:rPr>
                <w:sz w:val="20"/>
                <w:szCs w:val="20"/>
              </w:rPr>
            </w:pPr>
            <w:r w:rsidRPr="007C4AC4">
              <w:rPr>
                <w:sz w:val="20"/>
                <w:szCs w:val="20"/>
              </w:rPr>
              <w:t>For trips from the airport rank</w:t>
            </w:r>
          </w:p>
        </w:tc>
        <w:tc>
          <w:tcPr>
            <w:tcW w:w="2015" w:type="dxa"/>
            <w:shd w:val="clear" w:color="auto" w:fill="F2F2F2" w:themeFill="background1" w:themeFillShade="F2"/>
          </w:tcPr>
          <w:p w14:paraId="206E9B3E" w14:textId="77777777" w:rsidR="0054555A" w:rsidRPr="007C4AC4" w:rsidRDefault="0054555A">
            <w:pPr>
              <w:rPr>
                <w:sz w:val="20"/>
                <w:szCs w:val="20"/>
              </w:rPr>
            </w:pPr>
            <w:r w:rsidRPr="007C4AC4">
              <w:rPr>
                <w:sz w:val="20"/>
                <w:szCs w:val="20"/>
              </w:rPr>
              <w:t>Pass-through</w:t>
            </w:r>
          </w:p>
        </w:tc>
      </w:tr>
      <w:tr w:rsidR="0054555A" w:rsidRPr="007C4AC4" w14:paraId="7CCD2CFD" w14:textId="77777777">
        <w:tc>
          <w:tcPr>
            <w:tcW w:w="3625" w:type="dxa"/>
            <w:shd w:val="clear" w:color="auto" w:fill="F2F2F2" w:themeFill="background1" w:themeFillShade="F2"/>
          </w:tcPr>
          <w:p w14:paraId="7B8E98F3" w14:textId="2A9501F2" w:rsidR="0054555A" w:rsidRPr="007C4AC4" w:rsidRDefault="0054555A">
            <w:pPr>
              <w:rPr>
                <w:sz w:val="20"/>
                <w:szCs w:val="20"/>
              </w:rPr>
            </w:pPr>
            <w:r w:rsidRPr="007C4AC4">
              <w:rPr>
                <w:sz w:val="20"/>
                <w:szCs w:val="20"/>
              </w:rPr>
              <w:t xml:space="preserve">Holiday rate </w:t>
            </w:r>
            <w:r w:rsidRPr="00E5483A">
              <w:rPr>
                <w:b/>
                <w:bCs/>
                <w:sz w:val="20"/>
                <w:szCs w:val="20"/>
                <w:vertAlign w:val="superscript"/>
              </w:rPr>
              <w:t>c</w:t>
            </w:r>
          </w:p>
        </w:tc>
        <w:tc>
          <w:tcPr>
            <w:tcW w:w="3998" w:type="dxa"/>
            <w:gridSpan w:val="2"/>
            <w:shd w:val="clear" w:color="auto" w:fill="F2F2F2" w:themeFill="background1" w:themeFillShade="F2"/>
          </w:tcPr>
          <w:p w14:paraId="288EACE5" w14:textId="77777777" w:rsidR="0054555A" w:rsidRPr="007C4AC4" w:rsidRDefault="0054555A">
            <w:pPr>
              <w:tabs>
                <w:tab w:val="left" w:pos="2880"/>
              </w:tabs>
              <w:rPr>
                <w:sz w:val="20"/>
                <w:szCs w:val="20"/>
              </w:rPr>
            </w:pPr>
          </w:p>
        </w:tc>
        <w:tc>
          <w:tcPr>
            <w:tcW w:w="2015" w:type="dxa"/>
            <w:shd w:val="clear" w:color="auto" w:fill="F2F2F2" w:themeFill="background1" w:themeFillShade="F2"/>
          </w:tcPr>
          <w:p w14:paraId="048BA888" w14:textId="77777777" w:rsidR="0054555A" w:rsidRPr="007C4AC4" w:rsidRDefault="0054555A">
            <w:pPr>
              <w:rPr>
                <w:sz w:val="20"/>
                <w:szCs w:val="20"/>
              </w:rPr>
            </w:pPr>
            <w:r w:rsidRPr="007C4AC4">
              <w:rPr>
                <w:sz w:val="20"/>
                <w:szCs w:val="20"/>
              </w:rPr>
              <w:t>Tariff 3 rates</w:t>
            </w:r>
          </w:p>
        </w:tc>
      </w:tr>
      <w:tr w:rsidR="0054555A" w:rsidRPr="007C4AC4" w14:paraId="47031B6E" w14:textId="77777777">
        <w:tc>
          <w:tcPr>
            <w:tcW w:w="3625" w:type="dxa"/>
            <w:shd w:val="clear" w:color="auto" w:fill="F2F2F2" w:themeFill="background1" w:themeFillShade="F2"/>
          </w:tcPr>
          <w:p w14:paraId="6643DFF7" w14:textId="77777777" w:rsidR="0054555A" w:rsidRPr="007C4AC4" w:rsidRDefault="0054555A">
            <w:pPr>
              <w:rPr>
                <w:sz w:val="20"/>
                <w:szCs w:val="20"/>
              </w:rPr>
            </w:pPr>
            <w:r w:rsidRPr="007C4AC4">
              <w:rPr>
                <w:sz w:val="20"/>
                <w:szCs w:val="20"/>
              </w:rPr>
              <w:t>CPV levy recovery fee</w:t>
            </w:r>
          </w:p>
        </w:tc>
        <w:tc>
          <w:tcPr>
            <w:tcW w:w="3998" w:type="dxa"/>
            <w:gridSpan w:val="2"/>
            <w:shd w:val="clear" w:color="auto" w:fill="F2F2F2" w:themeFill="background1" w:themeFillShade="F2"/>
          </w:tcPr>
          <w:p w14:paraId="54F402E3" w14:textId="77777777" w:rsidR="0054555A" w:rsidRPr="007C4AC4" w:rsidRDefault="0054555A">
            <w:pPr>
              <w:tabs>
                <w:tab w:val="left" w:pos="2880"/>
              </w:tabs>
              <w:rPr>
                <w:sz w:val="20"/>
                <w:szCs w:val="20"/>
              </w:rPr>
            </w:pPr>
          </w:p>
        </w:tc>
        <w:tc>
          <w:tcPr>
            <w:tcW w:w="2015" w:type="dxa"/>
            <w:shd w:val="clear" w:color="auto" w:fill="F2F2F2" w:themeFill="background1" w:themeFillShade="F2"/>
          </w:tcPr>
          <w:p w14:paraId="301F977B" w14:textId="77777777" w:rsidR="0054555A" w:rsidRPr="007C4AC4" w:rsidRDefault="0054555A">
            <w:pPr>
              <w:rPr>
                <w:sz w:val="20"/>
                <w:szCs w:val="20"/>
              </w:rPr>
            </w:pPr>
            <w:r w:rsidRPr="007C4AC4">
              <w:rPr>
                <w:sz w:val="20"/>
                <w:szCs w:val="20"/>
              </w:rPr>
              <w:t>Pass-through</w:t>
            </w:r>
          </w:p>
        </w:tc>
      </w:tr>
      <w:tr w:rsidR="0054555A" w:rsidRPr="007C4AC4" w14:paraId="55145D3F" w14:textId="77777777">
        <w:tc>
          <w:tcPr>
            <w:tcW w:w="3625" w:type="dxa"/>
            <w:shd w:val="clear" w:color="auto" w:fill="F2F2F2" w:themeFill="background1" w:themeFillShade="F2"/>
          </w:tcPr>
          <w:p w14:paraId="5D402B51" w14:textId="70FC89FB" w:rsidR="0054555A" w:rsidRPr="007C4AC4" w:rsidRDefault="0054555A">
            <w:pPr>
              <w:rPr>
                <w:sz w:val="20"/>
                <w:szCs w:val="20"/>
              </w:rPr>
            </w:pPr>
            <w:r w:rsidRPr="007C4AC4">
              <w:rPr>
                <w:sz w:val="20"/>
                <w:szCs w:val="20"/>
              </w:rPr>
              <w:t xml:space="preserve">CityLink and EastLink tolls </w:t>
            </w:r>
            <w:r w:rsidRPr="00E5483A">
              <w:rPr>
                <w:b/>
                <w:bCs/>
                <w:sz w:val="20"/>
                <w:szCs w:val="20"/>
                <w:vertAlign w:val="superscript"/>
              </w:rPr>
              <w:t>d</w:t>
            </w:r>
          </w:p>
        </w:tc>
        <w:tc>
          <w:tcPr>
            <w:tcW w:w="3998" w:type="dxa"/>
            <w:gridSpan w:val="2"/>
            <w:shd w:val="clear" w:color="auto" w:fill="F2F2F2" w:themeFill="background1" w:themeFillShade="F2"/>
          </w:tcPr>
          <w:p w14:paraId="01CAB2E6" w14:textId="77777777" w:rsidR="0054555A" w:rsidRPr="007C4AC4" w:rsidRDefault="0054555A">
            <w:pPr>
              <w:tabs>
                <w:tab w:val="left" w:pos="2880"/>
              </w:tabs>
              <w:rPr>
                <w:sz w:val="20"/>
                <w:szCs w:val="20"/>
              </w:rPr>
            </w:pPr>
          </w:p>
        </w:tc>
        <w:tc>
          <w:tcPr>
            <w:tcW w:w="2015" w:type="dxa"/>
            <w:shd w:val="clear" w:color="auto" w:fill="F2F2F2" w:themeFill="background1" w:themeFillShade="F2"/>
          </w:tcPr>
          <w:p w14:paraId="583DC751" w14:textId="77777777" w:rsidR="0054555A" w:rsidRPr="007C4AC4" w:rsidRDefault="0054555A">
            <w:pPr>
              <w:rPr>
                <w:sz w:val="20"/>
                <w:szCs w:val="20"/>
              </w:rPr>
            </w:pPr>
            <w:r w:rsidRPr="007C4AC4">
              <w:rPr>
                <w:sz w:val="20"/>
                <w:szCs w:val="20"/>
              </w:rPr>
              <w:t>Pass-through</w:t>
            </w:r>
          </w:p>
        </w:tc>
      </w:tr>
      <w:tr w:rsidR="0054555A" w:rsidRPr="007C4AC4" w14:paraId="71FC7A22" w14:textId="77777777">
        <w:tc>
          <w:tcPr>
            <w:tcW w:w="3625" w:type="dxa"/>
            <w:shd w:val="clear" w:color="auto" w:fill="F2F2F2" w:themeFill="background1" w:themeFillShade="F2"/>
          </w:tcPr>
          <w:p w14:paraId="094A1D2C" w14:textId="77777777" w:rsidR="0054555A" w:rsidRPr="007C4AC4" w:rsidRDefault="0054555A">
            <w:pPr>
              <w:rPr>
                <w:sz w:val="20"/>
                <w:szCs w:val="20"/>
              </w:rPr>
            </w:pPr>
            <w:r w:rsidRPr="007C4AC4">
              <w:rPr>
                <w:sz w:val="20"/>
                <w:szCs w:val="20"/>
              </w:rPr>
              <w:t>Cleaning fee</w:t>
            </w:r>
          </w:p>
        </w:tc>
        <w:tc>
          <w:tcPr>
            <w:tcW w:w="6013" w:type="dxa"/>
            <w:gridSpan w:val="3"/>
            <w:shd w:val="clear" w:color="auto" w:fill="F2F2F2" w:themeFill="background1" w:themeFillShade="F2"/>
          </w:tcPr>
          <w:p w14:paraId="7B4DC7F2" w14:textId="77777777" w:rsidR="0054555A" w:rsidRPr="007C4AC4" w:rsidRDefault="0054555A">
            <w:pPr>
              <w:jc w:val="right"/>
              <w:rPr>
                <w:sz w:val="20"/>
                <w:szCs w:val="20"/>
              </w:rPr>
            </w:pPr>
            <w:r w:rsidRPr="007C4AC4">
              <w:rPr>
                <w:sz w:val="20"/>
                <w:szCs w:val="20"/>
              </w:rPr>
              <w:t>Up to a maximum of $120</w:t>
            </w:r>
          </w:p>
        </w:tc>
      </w:tr>
    </w:tbl>
    <w:p w14:paraId="418442D6" w14:textId="742958E5" w:rsidR="0054555A" w:rsidRPr="007C4AC4" w:rsidRDefault="0054555A" w:rsidP="0054555A">
      <w:pPr>
        <w:spacing w:before="0" w:after="0" w:line="240" w:lineRule="auto"/>
        <w:rPr>
          <w:rFonts w:ascii="Arial" w:eastAsia="Arial" w:hAnsi="Arial" w:cs="Arial"/>
          <w:iCs/>
          <w:color w:val="4986A0"/>
          <w:sz w:val="18"/>
          <w:szCs w:val="18"/>
        </w:rPr>
      </w:pPr>
      <w:proofErr w:type="spellStart"/>
      <w:r w:rsidRPr="00E5483A">
        <w:rPr>
          <w:rFonts w:ascii="Arial" w:eastAsia="Arial" w:hAnsi="Arial" w:cs="Arial"/>
          <w:iCs/>
          <w:color w:val="4986A0"/>
          <w:sz w:val="18"/>
          <w:szCs w:val="18"/>
          <w:vertAlign w:val="superscript"/>
        </w:rPr>
        <w:t>a</w:t>
      </w:r>
      <w:proofErr w:type="spellEnd"/>
      <w:r w:rsidRPr="007C4AC4">
        <w:rPr>
          <w:rFonts w:ascii="Arial" w:eastAsia="Arial" w:hAnsi="Arial" w:cs="Arial"/>
          <w:iCs/>
          <w:color w:val="4986A0"/>
          <w:sz w:val="18"/>
          <w:szCs w:val="18"/>
        </w:rPr>
        <w:t xml:space="preserve"> </w:t>
      </w:r>
      <w:proofErr w:type="gramStart"/>
      <w:r w:rsidRPr="007C4AC4">
        <w:rPr>
          <w:rFonts w:ascii="Arial" w:eastAsia="Arial" w:hAnsi="Arial" w:cs="Arial"/>
          <w:iCs/>
          <w:color w:val="4986A0"/>
          <w:sz w:val="18"/>
          <w:szCs w:val="18"/>
        </w:rPr>
        <w:t>For</w:t>
      </w:r>
      <w:proofErr w:type="gramEnd"/>
      <w:r w:rsidRPr="007C4AC4">
        <w:rPr>
          <w:rFonts w:ascii="Arial" w:eastAsia="Arial" w:hAnsi="Arial" w:cs="Arial"/>
          <w:iCs/>
          <w:color w:val="4986A0"/>
          <w:sz w:val="18"/>
          <w:szCs w:val="18"/>
        </w:rPr>
        <w:t xml:space="preserve"> taxis carrying 5 to 11 passengers</w:t>
      </w:r>
      <w:r w:rsidR="00EF2890">
        <w:rPr>
          <w:rFonts w:ascii="Arial" w:eastAsia="Arial" w:hAnsi="Arial" w:cs="Arial"/>
          <w:iCs/>
          <w:color w:val="4986A0"/>
          <w:sz w:val="18"/>
          <w:szCs w:val="18"/>
        </w:rPr>
        <w:t xml:space="preserve"> (excluding children under 5)</w:t>
      </w:r>
      <w:r w:rsidRPr="007C4AC4">
        <w:rPr>
          <w:rFonts w:ascii="Arial" w:eastAsia="Arial" w:hAnsi="Arial" w:cs="Arial"/>
          <w:iCs/>
          <w:color w:val="4986A0"/>
          <w:sz w:val="18"/>
          <w:szCs w:val="18"/>
        </w:rPr>
        <w:t>.</w:t>
      </w:r>
      <w:r w:rsidR="00E5483A">
        <w:rPr>
          <w:rFonts w:ascii="Arial" w:eastAsia="Arial" w:hAnsi="Arial" w:cs="Arial"/>
          <w:iCs/>
          <w:color w:val="4986A0"/>
          <w:sz w:val="18"/>
          <w:szCs w:val="18"/>
        </w:rPr>
        <w:t xml:space="preserve"> </w:t>
      </w:r>
      <w:r w:rsidRPr="00E5483A">
        <w:rPr>
          <w:rFonts w:ascii="Arial" w:eastAsia="Arial" w:hAnsi="Arial" w:cs="Arial"/>
          <w:iCs/>
          <w:color w:val="4986A0"/>
          <w:sz w:val="18"/>
          <w:szCs w:val="18"/>
          <w:vertAlign w:val="superscript"/>
        </w:rPr>
        <w:t>b</w:t>
      </w:r>
      <w:r w:rsidR="00E5483A">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As</w:t>
      </w:r>
      <w:proofErr w:type="gramEnd"/>
      <w:r w:rsidRPr="007C4AC4">
        <w:rPr>
          <w:rFonts w:ascii="Arial" w:eastAsia="Arial" w:hAnsi="Arial" w:cs="Arial"/>
          <w:iCs/>
          <w:color w:val="4986A0"/>
          <w:sz w:val="18"/>
          <w:szCs w:val="18"/>
        </w:rPr>
        <w:t xml:space="preserve"> published by that airport in a daily newspaper generally circulating in Victoria and on that airport’s website.</w:t>
      </w:r>
      <w:r w:rsidR="00E5483A">
        <w:rPr>
          <w:rFonts w:ascii="Arial" w:eastAsia="Arial" w:hAnsi="Arial" w:cs="Arial"/>
          <w:iCs/>
          <w:color w:val="4986A0"/>
          <w:sz w:val="18"/>
          <w:szCs w:val="18"/>
        </w:rPr>
        <w:t xml:space="preserve"> </w:t>
      </w:r>
      <w:r w:rsidRPr="00C345B4">
        <w:rPr>
          <w:rFonts w:ascii="Arial" w:eastAsia="Arial" w:hAnsi="Arial" w:cs="Arial"/>
          <w:iCs/>
          <w:color w:val="4986A0"/>
          <w:sz w:val="18"/>
          <w:szCs w:val="18"/>
          <w:vertAlign w:val="superscript"/>
        </w:rPr>
        <w:t>c</w:t>
      </w:r>
      <w:r w:rsidR="00C345B4">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For</w:t>
      </w:r>
      <w:proofErr w:type="gramEnd"/>
      <w:r w:rsidRPr="007C4AC4">
        <w:rPr>
          <w:rFonts w:ascii="Arial" w:eastAsia="Arial" w:hAnsi="Arial" w:cs="Arial"/>
          <w:iCs/>
          <w:color w:val="4986A0"/>
          <w:sz w:val="18"/>
          <w:szCs w:val="18"/>
        </w:rPr>
        <w:t xml:space="preserve"> trips commencing on Christmas Day, Boxing Day, New Year’s Day and from 6pm on New Year’s Eve.</w:t>
      </w:r>
      <w:r w:rsidR="00C345B4">
        <w:rPr>
          <w:rFonts w:ascii="Arial" w:eastAsia="Arial" w:hAnsi="Arial" w:cs="Arial"/>
          <w:iCs/>
          <w:color w:val="4986A0"/>
          <w:sz w:val="18"/>
          <w:szCs w:val="18"/>
        </w:rPr>
        <w:t xml:space="preserve"> </w:t>
      </w:r>
      <w:r w:rsidRPr="00C345B4">
        <w:rPr>
          <w:rFonts w:ascii="Arial" w:eastAsia="Arial" w:hAnsi="Arial" w:cs="Arial"/>
          <w:iCs/>
          <w:color w:val="4986A0"/>
          <w:sz w:val="18"/>
          <w:szCs w:val="18"/>
          <w:vertAlign w:val="superscript"/>
        </w:rPr>
        <w:t>d</w:t>
      </w:r>
      <w:r w:rsidR="00C345B4">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As</w:t>
      </w:r>
      <w:proofErr w:type="gramEnd"/>
      <w:r w:rsidRPr="007C4AC4">
        <w:rPr>
          <w:rFonts w:ascii="Arial" w:eastAsia="Arial" w:hAnsi="Arial" w:cs="Arial"/>
          <w:iCs/>
          <w:color w:val="4986A0"/>
          <w:sz w:val="18"/>
          <w:szCs w:val="18"/>
        </w:rPr>
        <w:t xml:space="preserve"> published from time to time in the </w:t>
      </w:r>
      <w:r w:rsidRPr="0046094C">
        <w:rPr>
          <w:rFonts w:ascii="Arial" w:eastAsia="Arial" w:hAnsi="Arial" w:cs="Arial"/>
          <w:i/>
          <w:color w:val="4986A0"/>
          <w:sz w:val="18"/>
          <w:szCs w:val="18"/>
        </w:rPr>
        <w:t>Victorian Government Gazette</w:t>
      </w:r>
      <w:r w:rsidRPr="007C4AC4">
        <w:rPr>
          <w:rFonts w:ascii="Arial" w:eastAsia="Arial" w:hAnsi="Arial" w:cs="Arial"/>
          <w:iCs/>
          <w:color w:val="4986A0"/>
          <w:sz w:val="18"/>
          <w:szCs w:val="18"/>
        </w:rPr>
        <w:t xml:space="preserve"> in accordance with the </w:t>
      </w:r>
      <w:r w:rsidRPr="0046094C">
        <w:rPr>
          <w:rFonts w:ascii="Arial" w:eastAsia="Arial" w:hAnsi="Arial" w:cs="Arial"/>
          <w:i/>
          <w:color w:val="4986A0"/>
          <w:sz w:val="18"/>
          <w:szCs w:val="18"/>
        </w:rPr>
        <w:t>Melbourne City Link Act 1995</w:t>
      </w:r>
      <w:r w:rsidRPr="007C4AC4">
        <w:rPr>
          <w:rFonts w:ascii="Arial" w:eastAsia="Arial" w:hAnsi="Arial" w:cs="Arial"/>
          <w:iCs/>
          <w:color w:val="4986A0"/>
          <w:sz w:val="18"/>
          <w:szCs w:val="18"/>
        </w:rPr>
        <w:t xml:space="preserve"> or the </w:t>
      </w:r>
      <w:r w:rsidRPr="0046094C">
        <w:rPr>
          <w:rFonts w:ascii="Arial" w:eastAsia="Arial" w:hAnsi="Arial" w:cs="Arial"/>
          <w:i/>
          <w:color w:val="4986A0"/>
          <w:sz w:val="18"/>
          <w:szCs w:val="18"/>
        </w:rPr>
        <w:t>EastLink Project Act 2004</w:t>
      </w:r>
      <w:r w:rsidRPr="007C4AC4">
        <w:rPr>
          <w:rFonts w:ascii="Arial" w:eastAsia="Arial" w:hAnsi="Arial" w:cs="Arial"/>
          <w:iCs/>
          <w:color w:val="4986A0"/>
          <w:sz w:val="18"/>
          <w:szCs w:val="18"/>
        </w:rPr>
        <w:t xml:space="preserve"> as applicable.</w:t>
      </w:r>
    </w:p>
    <w:p w14:paraId="71B7830C" w14:textId="358F4733" w:rsidR="0054555A" w:rsidRPr="007C4AC4" w:rsidRDefault="0054555A" w:rsidP="0054555A">
      <w:pPr>
        <w:keepNext/>
        <w:keepLines/>
        <w:spacing w:before="120" w:after="120"/>
        <w:outlineLvl w:val="2"/>
        <w:rPr>
          <w:rFonts w:ascii="Arial" w:eastAsia="SimHei" w:hAnsi="Arial" w:cs="Arial"/>
          <w:b/>
          <w:color w:val="4986A0"/>
          <w:szCs w:val="24"/>
        </w:rPr>
      </w:pPr>
      <w:r w:rsidRPr="007C4AC4">
        <w:rPr>
          <w:rFonts w:ascii="Arial" w:eastAsia="SimHei" w:hAnsi="Arial" w:cs="Arial"/>
          <w:b/>
          <w:color w:val="4986A0"/>
          <w:szCs w:val="24"/>
        </w:rPr>
        <w:lastRenderedPageBreak/>
        <w:t xml:space="preserve">Table </w:t>
      </w:r>
      <w:r w:rsidR="00CD0D89">
        <w:rPr>
          <w:rFonts w:ascii="Arial" w:eastAsia="SimHei" w:hAnsi="Arial" w:cs="Arial"/>
          <w:b/>
          <w:color w:val="4986A0"/>
          <w:szCs w:val="24"/>
        </w:rPr>
        <w:t>B</w:t>
      </w:r>
      <w:r w:rsidRPr="007C4AC4">
        <w:rPr>
          <w:rFonts w:ascii="Arial" w:eastAsia="SimHei" w:hAnsi="Arial" w:cs="Arial"/>
          <w:b/>
          <w:color w:val="4986A0"/>
          <w:szCs w:val="24"/>
        </w:rPr>
        <w:t xml:space="preserve">.2: </w:t>
      </w:r>
      <w:r>
        <w:rPr>
          <w:rFonts w:ascii="Arial" w:eastAsia="SimHei" w:hAnsi="Arial" w:cs="Arial"/>
          <w:b/>
          <w:color w:val="4986A0"/>
          <w:szCs w:val="24"/>
        </w:rPr>
        <w:t>M</w:t>
      </w:r>
      <w:r w:rsidRPr="007C4AC4">
        <w:rPr>
          <w:rFonts w:ascii="Arial" w:eastAsia="SimHei" w:hAnsi="Arial" w:cs="Arial"/>
          <w:b/>
          <w:color w:val="4986A0"/>
          <w:szCs w:val="24"/>
        </w:rPr>
        <w:t xml:space="preserve">aximum fares for unbooked </w:t>
      </w:r>
      <w:r>
        <w:rPr>
          <w:rFonts w:ascii="Arial" w:eastAsia="SimHei" w:hAnsi="Arial" w:cs="Arial"/>
          <w:b/>
          <w:color w:val="4986A0"/>
          <w:szCs w:val="24"/>
        </w:rPr>
        <w:t xml:space="preserve">taxi </w:t>
      </w:r>
      <w:r w:rsidRPr="007C4AC4">
        <w:rPr>
          <w:rFonts w:ascii="Arial" w:eastAsia="SimHei" w:hAnsi="Arial" w:cs="Arial"/>
          <w:b/>
          <w:color w:val="4986A0"/>
          <w:szCs w:val="24"/>
        </w:rPr>
        <w:t xml:space="preserve">services that begin in the Melbourne </w:t>
      </w:r>
      <w:r>
        <w:rPr>
          <w:rFonts w:ascii="Arial" w:eastAsia="SimHei" w:hAnsi="Arial" w:cs="Arial"/>
          <w:b/>
          <w:color w:val="4986A0"/>
          <w:szCs w:val="24"/>
        </w:rPr>
        <w:t>M</w:t>
      </w:r>
      <w:r w:rsidRPr="007C4AC4">
        <w:rPr>
          <w:rFonts w:ascii="Arial" w:eastAsia="SimHei" w:hAnsi="Arial" w:cs="Arial"/>
          <w:b/>
          <w:color w:val="4986A0"/>
          <w:szCs w:val="24"/>
        </w:rPr>
        <w:t xml:space="preserve">etropolitan </w:t>
      </w:r>
      <w:r w:rsidR="00985479">
        <w:rPr>
          <w:rFonts w:ascii="Arial" w:eastAsia="SimHei" w:hAnsi="Arial" w:cs="Arial"/>
          <w:b/>
          <w:color w:val="4986A0"/>
          <w:szCs w:val="24"/>
        </w:rPr>
        <w:t>or the urban area</w:t>
      </w:r>
      <w:r w:rsidR="008F652C">
        <w:rPr>
          <w:rFonts w:ascii="Arial" w:eastAsia="SimHei" w:hAnsi="Arial" w:cs="Arial"/>
          <w:b/>
          <w:color w:val="4986A0"/>
          <w:szCs w:val="24"/>
        </w:rPr>
        <w:t xml:space="preserve"> (</w:t>
      </w:r>
      <w:r w:rsidR="00B53E98">
        <w:rPr>
          <w:rFonts w:ascii="Arial" w:eastAsia="SimHei" w:hAnsi="Arial" w:cs="Arial"/>
          <w:b/>
          <w:color w:val="4986A0"/>
          <w:szCs w:val="24"/>
        </w:rPr>
        <w:t>Dande</w:t>
      </w:r>
      <w:r w:rsidR="00D63DF3">
        <w:rPr>
          <w:rFonts w:ascii="Arial" w:eastAsia="SimHei" w:hAnsi="Arial" w:cs="Arial"/>
          <w:b/>
          <w:color w:val="4986A0"/>
          <w:szCs w:val="24"/>
        </w:rPr>
        <w:t>nong, Frankston and the M</w:t>
      </w:r>
      <w:r w:rsidR="00941A8A">
        <w:rPr>
          <w:rFonts w:ascii="Arial" w:eastAsia="SimHei" w:hAnsi="Arial" w:cs="Arial"/>
          <w:b/>
          <w:color w:val="4986A0"/>
          <w:szCs w:val="24"/>
        </w:rPr>
        <w:t>ornington Peninsula)</w:t>
      </w:r>
      <w:r w:rsidR="00985479">
        <w:rPr>
          <w:rFonts w:ascii="Arial" w:eastAsia="SimHei" w:hAnsi="Arial" w:cs="Arial"/>
          <w:b/>
          <w:color w:val="4986A0"/>
          <w:szCs w:val="24"/>
        </w:rPr>
        <w:t xml:space="preserve"> of the U</w:t>
      </w:r>
      <w:r w:rsidR="00985479" w:rsidRPr="007C4AC4">
        <w:rPr>
          <w:rFonts w:ascii="Arial" w:eastAsia="SimHei" w:hAnsi="Arial" w:cs="Arial"/>
          <w:b/>
          <w:color w:val="4986A0"/>
          <w:szCs w:val="24"/>
        </w:rPr>
        <w:t>rban</w:t>
      </w:r>
      <w:r w:rsidR="00985479">
        <w:rPr>
          <w:rFonts w:ascii="Arial" w:eastAsia="SimHei" w:hAnsi="Arial" w:cs="Arial"/>
          <w:b/>
          <w:color w:val="4986A0"/>
          <w:szCs w:val="24"/>
        </w:rPr>
        <w:t xml:space="preserve"> and Large Regional</w:t>
      </w:r>
      <w:r w:rsidR="00985479" w:rsidRPr="007C4AC4">
        <w:rPr>
          <w:rFonts w:ascii="Arial" w:eastAsia="SimHei" w:hAnsi="Arial" w:cs="Arial"/>
          <w:b/>
          <w:color w:val="4986A0"/>
          <w:szCs w:val="24"/>
        </w:rPr>
        <w:t xml:space="preserve"> </w:t>
      </w:r>
      <w:r w:rsidR="00985479">
        <w:rPr>
          <w:rFonts w:ascii="Arial" w:eastAsia="SimHei" w:hAnsi="Arial" w:cs="Arial"/>
          <w:b/>
          <w:color w:val="4986A0"/>
          <w:szCs w:val="24"/>
        </w:rPr>
        <w:t xml:space="preserve">Zone </w:t>
      </w:r>
      <w:r>
        <w:rPr>
          <w:rFonts w:ascii="Arial" w:eastAsia="SimHei" w:hAnsi="Arial" w:cs="Arial"/>
          <w:b/>
          <w:color w:val="4986A0"/>
          <w:szCs w:val="24"/>
        </w:rPr>
        <w:t xml:space="preserve">– </w:t>
      </w:r>
      <w:r w:rsidRPr="007C4AC4">
        <w:rPr>
          <w:rFonts w:ascii="Arial" w:eastAsia="SimHei" w:hAnsi="Arial" w:cs="Arial"/>
          <w:b/>
          <w:color w:val="4986A0"/>
          <w:szCs w:val="24"/>
        </w:rPr>
        <w:t xml:space="preserve">‘time </w:t>
      </w:r>
      <w:r w:rsidRPr="007C4AC4">
        <w:rPr>
          <w:rFonts w:ascii="Arial" w:eastAsia="SimHei" w:hAnsi="Arial" w:cs="Arial"/>
          <w:b/>
          <w:color w:val="4986A0"/>
          <w:szCs w:val="24"/>
          <w:u w:val="single"/>
        </w:rPr>
        <w:t>and</w:t>
      </w:r>
      <w:r w:rsidRPr="007C4AC4">
        <w:rPr>
          <w:rFonts w:ascii="Arial" w:eastAsia="SimHei" w:hAnsi="Arial" w:cs="Arial"/>
          <w:b/>
          <w:color w:val="4986A0"/>
          <w:szCs w:val="24"/>
        </w:rPr>
        <w:t xml:space="preserve"> distance’ </w:t>
      </w:r>
      <w:proofErr w:type="gramStart"/>
      <w:r w:rsidRPr="007C4AC4">
        <w:rPr>
          <w:rFonts w:ascii="Arial" w:eastAsia="SimHei" w:hAnsi="Arial" w:cs="Arial"/>
          <w:b/>
          <w:color w:val="4986A0"/>
          <w:szCs w:val="24"/>
        </w:rPr>
        <w:t>tariffs</w:t>
      </w:r>
      <w:proofErr w:type="gramEnd"/>
      <w:r w:rsidRPr="007C4AC4">
        <w:rPr>
          <w:rFonts w:ascii="Arial" w:eastAsia="SimHei" w:hAnsi="Arial" w:cs="Arial"/>
          <w:b/>
          <w:color w:val="4986A0"/>
          <w:szCs w:val="24"/>
        </w:rPr>
        <w:t xml:space="preserve"> </w:t>
      </w:r>
    </w:p>
    <w:tbl>
      <w:tblPr>
        <w:tblStyle w:val="TwoColumnImage"/>
        <w:tblW w:w="0" w:type="auto"/>
        <w:tblLook w:val="04A0" w:firstRow="1" w:lastRow="0" w:firstColumn="1" w:lastColumn="0" w:noHBand="0" w:noVBand="1"/>
      </w:tblPr>
      <w:tblGrid>
        <w:gridCol w:w="3625"/>
        <w:gridCol w:w="2033"/>
        <w:gridCol w:w="1965"/>
        <w:gridCol w:w="2015"/>
      </w:tblGrid>
      <w:tr w:rsidR="0054555A" w:rsidRPr="007C4AC4" w14:paraId="0DBC30DA" w14:textId="77777777">
        <w:tc>
          <w:tcPr>
            <w:tcW w:w="3625" w:type="dxa"/>
            <w:shd w:val="clear" w:color="auto" w:fill="4986A0" w:themeFill="text2"/>
          </w:tcPr>
          <w:p w14:paraId="282B55DA" w14:textId="77777777" w:rsidR="0054555A" w:rsidRPr="007C4AC4" w:rsidRDefault="0054555A">
            <w:pPr>
              <w:keepNext/>
              <w:keepLines/>
              <w:rPr>
                <w:color w:val="FFFFFF" w:themeColor="background1"/>
                <w:sz w:val="20"/>
                <w:szCs w:val="20"/>
              </w:rPr>
            </w:pPr>
          </w:p>
        </w:tc>
        <w:tc>
          <w:tcPr>
            <w:tcW w:w="2033" w:type="dxa"/>
            <w:shd w:val="clear" w:color="auto" w:fill="4986A0" w:themeFill="text2"/>
          </w:tcPr>
          <w:p w14:paraId="218954A7" w14:textId="77777777" w:rsidR="0054555A" w:rsidRPr="007C4AC4" w:rsidRDefault="0054555A">
            <w:pPr>
              <w:keepNext/>
              <w:keepLines/>
              <w:spacing w:before="0"/>
              <w:rPr>
                <w:b/>
                <w:color w:val="FFFFFF" w:themeColor="background1"/>
                <w:sz w:val="20"/>
                <w:szCs w:val="20"/>
              </w:rPr>
            </w:pPr>
            <w:r w:rsidRPr="007C4AC4">
              <w:rPr>
                <w:b/>
                <w:color w:val="FFFFFF" w:themeColor="background1"/>
                <w:sz w:val="20"/>
                <w:szCs w:val="20"/>
              </w:rPr>
              <w:t>Tariff 1</w:t>
            </w:r>
          </w:p>
          <w:p w14:paraId="2C8156F2" w14:textId="77777777" w:rsidR="0054555A" w:rsidRPr="007C4AC4" w:rsidRDefault="0054555A">
            <w:pPr>
              <w:keepNext/>
              <w:keepLines/>
              <w:spacing w:before="0"/>
              <w:rPr>
                <w:b/>
                <w:color w:val="FFFFFF" w:themeColor="background1"/>
                <w:sz w:val="20"/>
                <w:szCs w:val="20"/>
              </w:rPr>
            </w:pPr>
            <w:r w:rsidRPr="007C4AC4">
              <w:rPr>
                <w:b/>
                <w:color w:val="FFFFFF" w:themeColor="background1"/>
                <w:sz w:val="20"/>
                <w:szCs w:val="20"/>
              </w:rPr>
              <w:t>‘Day’</w:t>
            </w:r>
          </w:p>
          <w:p w14:paraId="78F1584E" w14:textId="77777777" w:rsidR="0054555A" w:rsidRPr="007C4AC4" w:rsidRDefault="0054555A">
            <w:pPr>
              <w:keepNext/>
              <w:keepLines/>
              <w:spacing w:before="0"/>
              <w:rPr>
                <w:b/>
                <w:color w:val="FFFFFF" w:themeColor="background1"/>
                <w:sz w:val="20"/>
                <w:szCs w:val="20"/>
              </w:rPr>
            </w:pPr>
            <w:r w:rsidRPr="007C4AC4">
              <w:rPr>
                <w:b/>
                <w:color w:val="FFFFFF" w:themeColor="background1"/>
                <w:sz w:val="20"/>
                <w:szCs w:val="20"/>
              </w:rPr>
              <w:t>(9am</w:t>
            </w:r>
            <w:r w:rsidRPr="00BA2524">
              <w:rPr>
                <w:rFonts w:asciiTheme="majorHAnsi" w:eastAsia="Times New Roman" w:hAnsiTheme="majorHAnsi" w:cstheme="majorHAnsi"/>
                <w:color w:val="FFFFFF" w:themeColor="background1"/>
                <w:lang w:eastAsia="en-AU"/>
              </w:rPr>
              <w:t>–</w:t>
            </w:r>
            <w:r w:rsidRPr="007C4AC4">
              <w:rPr>
                <w:b/>
                <w:color w:val="FFFFFF" w:themeColor="background1"/>
                <w:sz w:val="20"/>
                <w:szCs w:val="20"/>
              </w:rPr>
              <w:t>5pm)</w:t>
            </w:r>
          </w:p>
        </w:tc>
        <w:tc>
          <w:tcPr>
            <w:tcW w:w="1965" w:type="dxa"/>
            <w:shd w:val="clear" w:color="auto" w:fill="4986A0" w:themeFill="text2"/>
          </w:tcPr>
          <w:p w14:paraId="5DD592BC" w14:textId="77777777" w:rsidR="0054555A" w:rsidRPr="007C4AC4" w:rsidRDefault="0054555A">
            <w:pPr>
              <w:keepNext/>
              <w:keepLines/>
              <w:spacing w:before="0"/>
              <w:rPr>
                <w:b/>
                <w:color w:val="FFFFFF" w:themeColor="background1"/>
                <w:sz w:val="20"/>
                <w:szCs w:val="20"/>
              </w:rPr>
            </w:pPr>
            <w:r w:rsidRPr="007C4AC4">
              <w:rPr>
                <w:b/>
                <w:color w:val="FFFFFF" w:themeColor="background1"/>
                <w:sz w:val="20"/>
                <w:szCs w:val="20"/>
              </w:rPr>
              <w:t>Tariff 2</w:t>
            </w:r>
          </w:p>
          <w:p w14:paraId="656B0D70" w14:textId="77777777" w:rsidR="0054555A" w:rsidRPr="007C4AC4" w:rsidRDefault="0054555A">
            <w:pPr>
              <w:keepNext/>
              <w:keepLines/>
              <w:spacing w:before="0"/>
              <w:rPr>
                <w:b/>
                <w:color w:val="FFFFFF" w:themeColor="background1"/>
                <w:sz w:val="20"/>
                <w:szCs w:val="20"/>
              </w:rPr>
            </w:pPr>
            <w:r w:rsidRPr="007C4AC4">
              <w:rPr>
                <w:b/>
                <w:color w:val="FFFFFF" w:themeColor="background1"/>
                <w:sz w:val="20"/>
                <w:szCs w:val="20"/>
              </w:rPr>
              <w:t>‘Overnight’</w:t>
            </w:r>
          </w:p>
          <w:p w14:paraId="56EF650B" w14:textId="77777777" w:rsidR="0054555A" w:rsidRPr="007C4AC4" w:rsidRDefault="0054555A">
            <w:pPr>
              <w:keepNext/>
              <w:keepLines/>
              <w:spacing w:before="0"/>
              <w:rPr>
                <w:b/>
                <w:color w:val="FFFFFF" w:themeColor="background1"/>
                <w:sz w:val="20"/>
                <w:szCs w:val="20"/>
              </w:rPr>
            </w:pPr>
            <w:r w:rsidRPr="007C4AC4">
              <w:rPr>
                <w:b/>
                <w:color w:val="FFFFFF" w:themeColor="background1"/>
                <w:sz w:val="20"/>
                <w:szCs w:val="20"/>
              </w:rPr>
              <w:t>(5pm</w:t>
            </w:r>
            <w:r w:rsidRPr="00BA2524">
              <w:rPr>
                <w:rFonts w:asciiTheme="majorHAnsi" w:eastAsia="Times New Roman" w:hAnsiTheme="majorHAnsi" w:cstheme="majorHAnsi"/>
                <w:color w:val="FFFFFF" w:themeColor="background1"/>
                <w:lang w:eastAsia="en-AU"/>
              </w:rPr>
              <w:t>–</w:t>
            </w:r>
            <w:r w:rsidRPr="007C4AC4">
              <w:rPr>
                <w:b/>
                <w:color w:val="FFFFFF" w:themeColor="background1"/>
                <w:sz w:val="20"/>
                <w:szCs w:val="20"/>
              </w:rPr>
              <w:t>9am, excluding peak)</w:t>
            </w:r>
          </w:p>
        </w:tc>
        <w:tc>
          <w:tcPr>
            <w:tcW w:w="2015" w:type="dxa"/>
            <w:shd w:val="clear" w:color="auto" w:fill="4986A0" w:themeFill="text2"/>
          </w:tcPr>
          <w:p w14:paraId="39042B4B" w14:textId="77777777" w:rsidR="0054555A" w:rsidRPr="007C4AC4" w:rsidRDefault="0054555A">
            <w:pPr>
              <w:keepNext/>
              <w:keepLines/>
              <w:spacing w:before="0"/>
              <w:rPr>
                <w:b/>
                <w:color w:val="FFFFFF" w:themeColor="background1"/>
                <w:sz w:val="20"/>
                <w:szCs w:val="20"/>
              </w:rPr>
            </w:pPr>
            <w:r w:rsidRPr="007C4AC4">
              <w:rPr>
                <w:b/>
                <w:color w:val="FFFFFF" w:themeColor="background1"/>
                <w:sz w:val="20"/>
                <w:szCs w:val="20"/>
              </w:rPr>
              <w:t>Tariff 3</w:t>
            </w:r>
          </w:p>
          <w:p w14:paraId="6FFD9CFB" w14:textId="77777777" w:rsidR="0054555A" w:rsidRPr="007C4AC4" w:rsidRDefault="0054555A">
            <w:pPr>
              <w:keepNext/>
              <w:keepLines/>
              <w:spacing w:before="0"/>
              <w:rPr>
                <w:b/>
                <w:color w:val="FFFFFF" w:themeColor="background1"/>
                <w:sz w:val="20"/>
                <w:szCs w:val="20"/>
              </w:rPr>
            </w:pPr>
            <w:r w:rsidRPr="007C4AC4">
              <w:rPr>
                <w:b/>
                <w:color w:val="FFFFFF" w:themeColor="background1"/>
                <w:sz w:val="20"/>
                <w:szCs w:val="20"/>
              </w:rPr>
              <w:t>‘Peak’</w:t>
            </w:r>
          </w:p>
          <w:p w14:paraId="6F7C46FC" w14:textId="77777777" w:rsidR="0054555A" w:rsidRPr="007C4AC4" w:rsidRDefault="0054555A">
            <w:pPr>
              <w:keepNext/>
              <w:keepLines/>
              <w:spacing w:before="0"/>
              <w:rPr>
                <w:b/>
                <w:color w:val="FFFFFF" w:themeColor="background1"/>
                <w:sz w:val="20"/>
                <w:szCs w:val="20"/>
              </w:rPr>
            </w:pPr>
            <w:r w:rsidRPr="007C4AC4">
              <w:rPr>
                <w:b/>
                <w:color w:val="FFFFFF" w:themeColor="background1"/>
                <w:sz w:val="20"/>
                <w:szCs w:val="20"/>
              </w:rPr>
              <w:t>(Fri &amp; Sat nights 10pm</w:t>
            </w:r>
            <w:r w:rsidRPr="00BA2524">
              <w:rPr>
                <w:rFonts w:asciiTheme="majorHAnsi" w:eastAsia="Times New Roman" w:hAnsiTheme="majorHAnsi" w:cstheme="majorHAnsi"/>
                <w:color w:val="FFFFFF" w:themeColor="background1"/>
                <w:lang w:eastAsia="en-AU"/>
              </w:rPr>
              <w:t>–</w:t>
            </w:r>
            <w:r w:rsidRPr="007C4AC4">
              <w:rPr>
                <w:b/>
                <w:color w:val="FFFFFF" w:themeColor="background1"/>
                <w:sz w:val="20"/>
                <w:szCs w:val="20"/>
              </w:rPr>
              <w:t>4am)</w:t>
            </w:r>
          </w:p>
        </w:tc>
      </w:tr>
      <w:tr w:rsidR="0054555A" w:rsidRPr="007C4AC4" w14:paraId="69AADBCE" w14:textId="77777777">
        <w:tc>
          <w:tcPr>
            <w:tcW w:w="3625" w:type="dxa"/>
            <w:shd w:val="clear" w:color="auto" w:fill="E3E3E4" w:themeFill="background2" w:themeFillTint="33"/>
          </w:tcPr>
          <w:p w14:paraId="07AAE60D" w14:textId="77777777" w:rsidR="0054555A" w:rsidRPr="007C4AC4" w:rsidRDefault="0054555A">
            <w:pPr>
              <w:keepNext/>
              <w:keepLines/>
              <w:rPr>
                <w:b/>
                <w:sz w:val="20"/>
                <w:szCs w:val="20"/>
              </w:rPr>
            </w:pPr>
            <w:r w:rsidRPr="007C4AC4">
              <w:rPr>
                <w:b/>
                <w:sz w:val="20"/>
                <w:szCs w:val="20"/>
              </w:rPr>
              <w:t>Standard fare components</w:t>
            </w:r>
          </w:p>
        </w:tc>
        <w:tc>
          <w:tcPr>
            <w:tcW w:w="6013" w:type="dxa"/>
            <w:gridSpan w:val="3"/>
            <w:shd w:val="clear" w:color="auto" w:fill="E3E3E4" w:themeFill="background2" w:themeFillTint="33"/>
          </w:tcPr>
          <w:p w14:paraId="424845CF" w14:textId="77777777" w:rsidR="0054555A" w:rsidRPr="007C4AC4" w:rsidRDefault="0054555A">
            <w:pPr>
              <w:keepNext/>
              <w:keepLines/>
              <w:rPr>
                <w:b/>
                <w:sz w:val="20"/>
                <w:szCs w:val="20"/>
              </w:rPr>
            </w:pPr>
            <w:r w:rsidRPr="007C4AC4">
              <w:rPr>
                <w:b/>
                <w:sz w:val="20"/>
                <w:szCs w:val="20"/>
              </w:rPr>
              <w:t>Maximum charge up to</w:t>
            </w:r>
          </w:p>
        </w:tc>
      </w:tr>
      <w:tr w:rsidR="0054555A" w:rsidRPr="007C4AC4" w14:paraId="0DDAB545" w14:textId="77777777">
        <w:tc>
          <w:tcPr>
            <w:tcW w:w="3625" w:type="dxa"/>
            <w:shd w:val="clear" w:color="auto" w:fill="F2F2F2" w:themeFill="background1" w:themeFillShade="F2"/>
          </w:tcPr>
          <w:p w14:paraId="5ABF6439" w14:textId="77777777" w:rsidR="0054555A" w:rsidRPr="007C4AC4" w:rsidRDefault="0054555A">
            <w:pPr>
              <w:keepNext/>
              <w:keepLines/>
              <w:rPr>
                <w:sz w:val="20"/>
                <w:szCs w:val="20"/>
              </w:rPr>
            </w:pPr>
            <w:r w:rsidRPr="007C4AC4">
              <w:rPr>
                <w:sz w:val="20"/>
                <w:szCs w:val="20"/>
              </w:rPr>
              <w:t>Flagfall ($)</w:t>
            </w:r>
          </w:p>
        </w:tc>
        <w:tc>
          <w:tcPr>
            <w:tcW w:w="2033" w:type="dxa"/>
            <w:shd w:val="clear" w:color="auto" w:fill="F2F2F2" w:themeFill="background1" w:themeFillShade="F2"/>
          </w:tcPr>
          <w:p w14:paraId="7B74B83E" w14:textId="31A148A9" w:rsidR="0054555A" w:rsidRPr="001A6F55" w:rsidRDefault="0054555A">
            <w:pPr>
              <w:keepNext/>
              <w:keepLines/>
              <w:rPr>
                <w:sz w:val="20"/>
                <w:szCs w:val="20"/>
              </w:rPr>
            </w:pPr>
            <w:r>
              <w:rPr>
                <w:sz w:val="20"/>
                <w:szCs w:val="20"/>
              </w:rPr>
              <w:t>$</w:t>
            </w:r>
            <w:r w:rsidRPr="001A6F55">
              <w:rPr>
                <w:sz w:val="20"/>
                <w:szCs w:val="20"/>
              </w:rPr>
              <w:t>4.</w:t>
            </w:r>
            <w:r w:rsidR="00DD5A89">
              <w:rPr>
                <w:sz w:val="20"/>
                <w:szCs w:val="20"/>
              </w:rPr>
              <w:t>8</w:t>
            </w:r>
            <w:r w:rsidRPr="001A6F55">
              <w:rPr>
                <w:sz w:val="20"/>
                <w:szCs w:val="20"/>
              </w:rPr>
              <w:t>5</w:t>
            </w:r>
          </w:p>
        </w:tc>
        <w:tc>
          <w:tcPr>
            <w:tcW w:w="1965" w:type="dxa"/>
            <w:shd w:val="clear" w:color="auto" w:fill="F2F2F2" w:themeFill="background1" w:themeFillShade="F2"/>
          </w:tcPr>
          <w:p w14:paraId="47CD250C" w14:textId="303B50AF" w:rsidR="0054555A" w:rsidRPr="001A6F55" w:rsidRDefault="0054555A">
            <w:pPr>
              <w:keepNext/>
              <w:keepLines/>
              <w:rPr>
                <w:sz w:val="20"/>
                <w:szCs w:val="20"/>
              </w:rPr>
            </w:pPr>
            <w:r>
              <w:rPr>
                <w:sz w:val="20"/>
                <w:szCs w:val="20"/>
              </w:rPr>
              <w:t>$</w:t>
            </w:r>
            <w:r w:rsidR="00DD5A89">
              <w:rPr>
                <w:sz w:val="20"/>
                <w:szCs w:val="20"/>
              </w:rPr>
              <w:t>6</w:t>
            </w:r>
            <w:r w:rsidRPr="001A6F55">
              <w:rPr>
                <w:sz w:val="20"/>
                <w:szCs w:val="20"/>
              </w:rPr>
              <w:t>.0</w:t>
            </w:r>
            <w:r w:rsidR="00DD5A89">
              <w:rPr>
                <w:sz w:val="20"/>
                <w:szCs w:val="20"/>
              </w:rPr>
              <w:t>5</w:t>
            </w:r>
          </w:p>
        </w:tc>
        <w:tc>
          <w:tcPr>
            <w:tcW w:w="2015" w:type="dxa"/>
            <w:shd w:val="clear" w:color="auto" w:fill="F2F2F2" w:themeFill="background1" w:themeFillShade="F2"/>
          </w:tcPr>
          <w:p w14:paraId="24132763" w14:textId="65BBF3E3" w:rsidR="0054555A" w:rsidRPr="001A6F55" w:rsidRDefault="0054555A">
            <w:pPr>
              <w:keepNext/>
              <w:keepLines/>
              <w:rPr>
                <w:sz w:val="20"/>
                <w:szCs w:val="20"/>
              </w:rPr>
            </w:pPr>
            <w:r>
              <w:rPr>
                <w:sz w:val="20"/>
                <w:szCs w:val="20"/>
              </w:rPr>
              <w:t>$</w:t>
            </w:r>
            <w:r w:rsidR="00DD5A89">
              <w:rPr>
                <w:sz w:val="20"/>
                <w:szCs w:val="20"/>
              </w:rPr>
              <w:t>7</w:t>
            </w:r>
            <w:r w:rsidRPr="001A6F55">
              <w:rPr>
                <w:sz w:val="20"/>
                <w:szCs w:val="20"/>
              </w:rPr>
              <w:t>.</w:t>
            </w:r>
            <w:r w:rsidR="00DD5A89">
              <w:rPr>
                <w:sz w:val="20"/>
                <w:szCs w:val="20"/>
              </w:rPr>
              <w:t>2</w:t>
            </w:r>
            <w:r w:rsidRPr="001A6F55">
              <w:rPr>
                <w:sz w:val="20"/>
                <w:szCs w:val="20"/>
              </w:rPr>
              <w:t>0</w:t>
            </w:r>
          </w:p>
        </w:tc>
      </w:tr>
      <w:tr w:rsidR="0054555A" w:rsidRPr="007C4AC4" w14:paraId="3F8ADD97" w14:textId="77777777">
        <w:tc>
          <w:tcPr>
            <w:tcW w:w="3625" w:type="dxa"/>
            <w:shd w:val="clear" w:color="auto" w:fill="F2F2F2" w:themeFill="background1" w:themeFillShade="F2"/>
          </w:tcPr>
          <w:p w14:paraId="1A68C34D" w14:textId="77777777" w:rsidR="0054555A" w:rsidRPr="007C4AC4" w:rsidRDefault="0054555A">
            <w:pPr>
              <w:keepNext/>
              <w:keepLines/>
              <w:spacing w:before="0"/>
              <w:rPr>
                <w:sz w:val="20"/>
                <w:szCs w:val="20"/>
              </w:rPr>
            </w:pPr>
            <w:r w:rsidRPr="007C4AC4">
              <w:rPr>
                <w:sz w:val="20"/>
                <w:szCs w:val="20"/>
              </w:rPr>
              <w:t>Distance rate ($/km) (</w:t>
            </w:r>
            <w:proofErr w:type="gramStart"/>
            <w:r w:rsidRPr="007C4AC4">
              <w:rPr>
                <w:sz w:val="20"/>
                <w:szCs w:val="20"/>
              </w:rPr>
              <w:t>at all times</w:t>
            </w:r>
            <w:proofErr w:type="gramEnd"/>
            <w:r w:rsidRPr="007C4AC4">
              <w:rPr>
                <w:sz w:val="20"/>
                <w:szCs w:val="20"/>
              </w:rPr>
              <w:t>)</w:t>
            </w:r>
          </w:p>
        </w:tc>
        <w:tc>
          <w:tcPr>
            <w:tcW w:w="2033" w:type="dxa"/>
            <w:shd w:val="clear" w:color="auto" w:fill="F2F2F2" w:themeFill="background1" w:themeFillShade="F2"/>
          </w:tcPr>
          <w:p w14:paraId="40193365" w14:textId="35A91AC1" w:rsidR="0054555A" w:rsidRPr="001A6F55" w:rsidRDefault="0054555A">
            <w:pPr>
              <w:keepNext/>
              <w:keepLines/>
              <w:rPr>
                <w:sz w:val="20"/>
                <w:szCs w:val="20"/>
              </w:rPr>
            </w:pPr>
            <w:r>
              <w:rPr>
                <w:sz w:val="20"/>
                <w:szCs w:val="20"/>
              </w:rPr>
              <w:t>$</w:t>
            </w:r>
            <w:r w:rsidRPr="001A6F55">
              <w:rPr>
                <w:sz w:val="20"/>
                <w:szCs w:val="20"/>
              </w:rPr>
              <w:t>1.</w:t>
            </w:r>
            <w:r w:rsidR="00DD5A89">
              <w:rPr>
                <w:sz w:val="20"/>
                <w:szCs w:val="20"/>
              </w:rPr>
              <w:t>553</w:t>
            </w:r>
          </w:p>
        </w:tc>
        <w:tc>
          <w:tcPr>
            <w:tcW w:w="1965" w:type="dxa"/>
            <w:shd w:val="clear" w:color="auto" w:fill="F2F2F2" w:themeFill="background1" w:themeFillShade="F2"/>
          </w:tcPr>
          <w:p w14:paraId="21D57C0A" w14:textId="3335C19F" w:rsidR="0054555A" w:rsidRPr="001A6F55" w:rsidRDefault="0054555A">
            <w:pPr>
              <w:keepNext/>
              <w:keepLines/>
              <w:rPr>
                <w:sz w:val="20"/>
                <w:szCs w:val="20"/>
              </w:rPr>
            </w:pPr>
            <w:r>
              <w:rPr>
                <w:sz w:val="20"/>
                <w:szCs w:val="20"/>
              </w:rPr>
              <w:t>$</w:t>
            </w:r>
            <w:r w:rsidRPr="001A6F55">
              <w:rPr>
                <w:sz w:val="20"/>
                <w:szCs w:val="20"/>
              </w:rPr>
              <w:t>1.</w:t>
            </w:r>
            <w:r w:rsidR="00DD5A89">
              <w:rPr>
                <w:sz w:val="20"/>
                <w:szCs w:val="20"/>
              </w:rPr>
              <w:t>725</w:t>
            </w:r>
          </w:p>
        </w:tc>
        <w:tc>
          <w:tcPr>
            <w:tcW w:w="2015" w:type="dxa"/>
            <w:shd w:val="clear" w:color="auto" w:fill="F2F2F2" w:themeFill="background1" w:themeFillShade="F2"/>
          </w:tcPr>
          <w:p w14:paraId="16045703" w14:textId="301C367B" w:rsidR="0054555A" w:rsidRPr="001A6F55" w:rsidRDefault="0054555A">
            <w:pPr>
              <w:keepNext/>
              <w:keepLines/>
              <w:rPr>
                <w:sz w:val="20"/>
                <w:szCs w:val="20"/>
              </w:rPr>
            </w:pPr>
            <w:r>
              <w:rPr>
                <w:sz w:val="20"/>
                <w:szCs w:val="20"/>
              </w:rPr>
              <w:t>$</w:t>
            </w:r>
            <w:r w:rsidRPr="001A6F55">
              <w:rPr>
                <w:sz w:val="20"/>
                <w:szCs w:val="20"/>
              </w:rPr>
              <w:t>1.</w:t>
            </w:r>
            <w:r w:rsidR="00DD5A89">
              <w:rPr>
                <w:sz w:val="20"/>
                <w:szCs w:val="20"/>
              </w:rPr>
              <w:t>908</w:t>
            </w:r>
          </w:p>
        </w:tc>
      </w:tr>
      <w:tr w:rsidR="0054555A" w:rsidRPr="007C4AC4" w14:paraId="3DEB6341" w14:textId="77777777">
        <w:tc>
          <w:tcPr>
            <w:tcW w:w="3625" w:type="dxa"/>
            <w:shd w:val="clear" w:color="auto" w:fill="F2F2F2" w:themeFill="background1" w:themeFillShade="F2"/>
          </w:tcPr>
          <w:p w14:paraId="4D63B8FB" w14:textId="77777777" w:rsidR="0054555A" w:rsidRPr="007C4AC4" w:rsidRDefault="0054555A">
            <w:pPr>
              <w:keepNext/>
              <w:keepLines/>
              <w:spacing w:before="0"/>
              <w:rPr>
                <w:sz w:val="20"/>
                <w:szCs w:val="20"/>
              </w:rPr>
            </w:pPr>
            <w:r w:rsidRPr="007C4AC4">
              <w:rPr>
                <w:sz w:val="20"/>
                <w:szCs w:val="20"/>
              </w:rPr>
              <w:t>Duration rate ($/min) (</w:t>
            </w:r>
            <w:proofErr w:type="gramStart"/>
            <w:r w:rsidRPr="007C4AC4">
              <w:rPr>
                <w:sz w:val="20"/>
                <w:szCs w:val="20"/>
              </w:rPr>
              <w:t>at all times</w:t>
            </w:r>
            <w:proofErr w:type="gramEnd"/>
            <w:r w:rsidRPr="007C4AC4">
              <w:rPr>
                <w:sz w:val="20"/>
                <w:szCs w:val="20"/>
              </w:rPr>
              <w:t>)</w:t>
            </w:r>
          </w:p>
        </w:tc>
        <w:tc>
          <w:tcPr>
            <w:tcW w:w="2033" w:type="dxa"/>
            <w:shd w:val="clear" w:color="auto" w:fill="F2F2F2" w:themeFill="background1" w:themeFillShade="F2"/>
          </w:tcPr>
          <w:p w14:paraId="05BC47D5" w14:textId="15844EE6" w:rsidR="0054555A" w:rsidRPr="001A6F55" w:rsidRDefault="0054555A">
            <w:pPr>
              <w:keepNext/>
              <w:keepLines/>
              <w:rPr>
                <w:sz w:val="20"/>
                <w:szCs w:val="20"/>
              </w:rPr>
            </w:pPr>
            <w:r>
              <w:rPr>
                <w:sz w:val="20"/>
                <w:szCs w:val="20"/>
              </w:rPr>
              <w:t>$</w:t>
            </w:r>
            <w:r w:rsidRPr="001A6F55">
              <w:rPr>
                <w:sz w:val="20"/>
                <w:szCs w:val="20"/>
              </w:rPr>
              <w:t>0.3</w:t>
            </w:r>
            <w:r w:rsidR="00DD5A89">
              <w:rPr>
                <w:sz w:val="20"/>
                <w:szCs w:val="20"/>
              </w:rPr>
              <w:t>99</w:t>
            </w:r>
          </w:p>
        </w:tc>
        <w:tc>
          <w:tcPr>
            <w:tcW w:w="1965" w:type="dxa"/>
            <w:shd w:val="clear" w:color="auto" w:fill="F2F2F2" w:themeFill="background1" w:themeFillShade="F2"/>
          </w:tcPr>
          <w:p w14:paraId="231C7745" w14:textId="47293020" w:rsidR="0054555A" w:rsidRPr="001A6F55" w:rsidRDefault="0054555A">
            <w:pPr>
              <w:keepNext/>
              <w:keepLines/>
              <w:rPr>
                <w:sz w:val="20"/>
                <w:szCs w:val="20"/>
              </w:rPr>
            </w:pPr>
            <w:r>
              <w:rPr>
                <w:sz w:val="20"/>
                <w:szCs w:val="20"/>
              </w:rPr>
              <w:t>$</w:t>
            </w:r>
            <w:r w:rsidRPr="001A6F55">
              <w:rPr>
                <w:sz w:val="20"/>
                <w:szCs w:val="20"/>
              </w:rPr>
              <w:t>0.4</w:t>
            </w:r>
            <w:r w:rsidR="00DD5A89">
              <w:rPr>
                <w:sz w:val="20"/>
                <w:szCs w:val="20"/>
              </w:rPr>
              <w:t>38</w:t>
            </w:r>
          </w:p>
        </w:tc>
        <w:tc>
          <w:tcPr>
            <w:tcW w:w="2015" w:type="dxa"/>
            <w:shd w:val="clear" w:color="auto" w:fill="F2F2F2" w:themeFill="background1" w:themeFillShade="F2"/>
          </w:tcPr>
          <w:p w14:paraId="16185116" w14:textId="26B6ED9F" w:rsidR="0054555A" w:rsidRPr="001A6F55" w:rsidRDefault="0054555A">
            <w:pPr>
              <w:keepNext/>
              <w:keepLines/>
              <w:rPr>
                <w:sz w:val="20"/>
                <w:szCs w:val="20"/>
              </w:rPr>
            </w:pPr>
            <w:r>
              <w:rPr>
                <w:sz w:val="20"/>
                <w:szCs w:val="20"/>
              </w:rPr>
              <w:t>$</w:t>
            </w:r>
            <w:r w:rsidRPr="001A6F55">
              <w:rPr>
                <w:sz w:val="20"/>
                <w:szCs w:val="20"/>
              </w:rPr>
              <w:t>0.4</w:t>
            </w:r>
            <w:r w:rsidR="00DD5A89">
              <w:rPr>
                <w:sz w:val="20"/>
                <w:szCs w:val="20"/>
              </w:rPr>
              <w:t>73</w:t>
            </w:r>
          </w:p>
        </w:tc>
      </w:tr>
      <w:tr w:rsidR="0054555A" w:rsidRPr="007C4AC4" w14:paraId="41E4AA48" w14:textId="77777777">
        <w:tc>
          <w:tcPr>
            <w:tcW w:w="7623" w:type="dxa"/>
            <w:gridSpan w:val="3"/>
            <w:shd w:val="clear" w:color="auto" w:fill="E3E3E4" w:themeFill="background2" w:themeFillTint="33"/>
          </w:tcPr>
          <w:p w14:paraId="0A4B792D" w14:textId="77777777" w:rsidR="0054555A" w:rsidRPr="001A6F55" w:rsidRDefault="0054555A">
            <w:pPr>
              <w:keepNext/>
              <w:keepLines/>
              <w:rPr>
                <w:b/>
                <w:sz w:val="20"/>
                <w:szCs w:val="20"/>
              </w:rPr>
            </w:pPr>
            <w:r w:rsidRPr="001A6F55">
              <w:rPr>
                <w:b/>
                <w:sz w:val="20"/>
                <w:szCs w:val="20"/>
              </w:rPr>
              <w:t>Other fare components (applicable to tariffs 1, 2 and 3)</w:t>
            </w:r>
          </w:p>
        </w:tc>
        <w:tc>
          <w:tcPr>
            <w:tcW w:w="2015" w:type="dxa"/>
            <w:shd w:val="clear" w:color="auto" w:fill="E3E3E4" w:themeFill="background2" w:themeFillTint="33"/>
          </w:tcPr>
          <w:p w14:paraId="0C746E8B" w14:textId="77777777" w:rsidR="0054555A" w:rsidRPr="001A6F55" w:rsidRDefault="0054555A">
            <w:pPr>
              <w:keepNext/>
              <w:keepLines/>
              <w:spacing w:before="0"/>
              <w:rPr>
                <w:b/>
                <w:sz w:val="20"/>
                <w:szCs w:val="20"/>
              </w:rPr>
            </w:pPr>
            <w:r w:rsidRPr="001A6F55">
              <w:rPr>
                <w:b/>
                <w:sz w:val="20"/>
                <w:szCs w:val="20"/>
              </w:rPr>
              <w:t xml:space="preserve">Maximum </w:t>
            </w:r>
          </w:p>
          <w:p w14:paraId="69C19100" w14:textId="77777777" w:rsidR="0054555A" w:rsidRPr="001A6F55" w:rsidRDefault="0054555A">
            <w:pPr>
              <w:keepNext/>
              <w:keepLines/>
              <w:spacing w:before="0"/>
              <w:rPr>
                <w:b/>
                <w:sz w:val="20"/>
                <w:szCs w:val="20"/>
              </w:rPr>
            </w:pPr>
            <w:r w:rsidRPr="001A6F55">
              <w:rPr>
                <w:b/>
                <w:sz w:val="20"/>
                <w:szCs w:val="20"/>
              </w:rPr>
              <w:t>charge up to</w:t>
            </w:r>
          </w:p>
        </w:tc>
      </w:tr>
      <w:tr w:rsidR="0054555A" w:rsidRPr="007C4AC4" w14:paraId="0BBA9281" w14:textId="77777777">
        <w:tc>
          <w:tcPr>
            <w:tcW w:w="3625" w:type="dxa"/>
            <w:shd w:val="clear" w:color="auto" w:fill="F2F2F2" w:themeFill="background1" w:themeFillShade="F2"/>
          </w:tcPr>
          <w:p w14:paraId="7C655A9A" w14:textId="7357B1BC" w:rsidR="0054555A" w:rsidRPr="007C4AC4" w:rsidRDefault="0054555A">
            <w:pPr>
              <w:keepNext/>
              <w:keepLines/>
              <w:rPr>
                <w:sz w:val="20"/>
                <w:szCs w:val="20"/>
              </w:rPr>
            </w:pPr>
            <w:r w:rsidRPr="007C4AC4">
              <w:rPr>
                <w:sz w:val="20"/>
                <w:szCs w:val="20"/>
              </w:rPr>
              <w:t xml:space="preserve">High occupancy fee </w:t>
            </w:r>
            <w:r w:rsidRPr="00A81ECD">
              <w:rPr>
                <w:b/>
                <w:bCs/>
                <w:sz w:val="20"/>
                <w:szCs w:val="20"/>
                <w:vertAlign w:val="superscript"/>
              </w:rPr>
              <w:t>a</w:t>
            </w:r>
          </w:p>
        </w:tc>
        <w:tc>
          <w:tcPr>
            <w:tcW w:w="3998" w:type="dxa"/>
            <w:gridSpan w:val="2"/>
            <w:shd w:val="clear" w:color="auto" w:fill="F2F2F2" w:themeFill="background1" w:themeFillShade="F2"/>
          </w:tcPr>
          <w:p w14:paraId="5751CCF7" w14:textId="77777777" w:rsidR="0054555A" w:rsidRPr="001A6F55" w:rsidRDefault="0054555A">
            <w:pPr>
              <w:keepNext/>
              <w:keepLines/>
              <w:spacing w:before="0"/>
              <w:rPr>
                <w:sz w:val="20"/>
                <w:szCs w:val="20"/>
              </w:rPr>
            </w:pPr>
          </w:p>
        </w:tc>
        <w:tc>
          <w:tcPr>
            <w:tcW w:w="2015" w:type="dxa"/>
            <w:shd w:val="clear" w:color="auto" w:fill="F2F2F2" w:themeFill="background1" w:themeFillShade="F2"/>
            <w:vAlign w:val="center"/>
          </w:tcPr>
          <w:p w14:paraId="783105DB" w14:textId="3304EBAE" w:rsidR="0054555A" w:rsidRPr="001A6F55" w:rsidRDefault="0054555A">
            <w:pPr>
              <w:keepNext/>
              <w:keepLines/>
              <w:rPr>
                <w:sz w:val="20"/>
                <w:szCs w:val="20"/>
              </w:rPr>
            </w:pPr>
            <w:r w:rsidRPr="001A6F55">
              <w:rPr>
                <w:sz w:val="20"/>
                <w:szCs w:val="20"/>
              </w:rPr>
              <w:t>$1</w:t>
            </w:r>
            <w:r w:rsidR="00DD5A89">
              <w:rPr>
                <w:sz w:val="20"/>
                <w:szCs w:val="20"/>
              </w:rPr>
              <w:t>6</w:t>
            </w:r>
            <w:r w:rsidRPr="001A6F55">
              <w:rPr>
                <w:sz w:val="20"/>
                <w:szCs w:val="20"/>
              </w:rPr>
              <w:t>.</w:t>
            </w:r>
            <w:r w:rsidR="00DD5A89">
              <w:rPr>
                <w:sz w:val="20"/>
                <w:szCs w:val="20"/>
              </w:rPr>
              <w:t>35</w:t>
            </w:r>
          </w:p>
        </w:tc>
      </w:tr>
      <w:tr w:rsidR="0054555A" w:rsidRPr="007C4AC4" w14:paraId="3551B63B" w14:textId="77777777">
        <w:tc>
          <w:tcPr>
            <w:tcW w:w="3625" w:type="dxa"/>
            <w:shd w:val="clear" w:color="auto" w:fill="F2F2F2" w:themeFill="background1" w:themeFillShade="F2"/>
          </w:tcPr>
          <w:p w14:paraId="0F9320BB" w14:textId="6F9A5279" w:rsidR="0054555A" w:rsidRPr="007C4AC4" w:rsidRDefault="0054555A">
            <w:pPr>
              <w:keepNext/>
              <w:keepLines/>
              <w:rPr>
                <w:sz w:val="20"/>
                <w:szCs w:val="20"/>
              </w:rPr>
            </w:pPr>
            <w:r w:rsidRPr="007C4AC4">
              <w:rPr>
                <w:sz w:val="20"/>
                <w:szCs w:val="20"/>
              </w:rPr>
              <w:t xml:space="preserve">Airport </w:t>
            </w:r>
            <w:r>
              <w:rPr>
                <w:sz w:val="20"/>
                <w:szCs w:val="20"/>
              </w:rPr>
              <w:t xml:space="preserve">taxi </w:t>
            </w:r>
            <w:r w:rsidRPr="007C4AC4">
              <w:rPr>
                <w:sz w:val="20"/>
                <w:szCs w:val="20"/>
              </w:rPr>
              <w:t xml:space="preserve">rank fee </w:t>
            </w:r>
            <w:r w:rsidRPr="00A81ECD">
              <w:rPr>
                <w:b/>
                <w:bCs/>
                <w:sz w:val="20"/>
                <w:szCs w:val="20"/>
                <w:vertAlign w:val="superscript"/>
              </w:rPr>
              <w:t>b</w:t>
            </w:r>
          </w:p>
        </w:tc>
        <w:tc>
          <w:tcPr>
            <w:tcW w:w="3998" w:type="dxa"/>
            <w:gridSpan w:val="2"/>
            <w:shd w:val="clear" w:color="auto" w:fill="F2F2F2" w:themeFill="background1" w:themeFillShade="F2"/>
          </w:tcPr>
          <w:p w14:paraId="1A5B4C73" w14:textId="77777777" w:rsidR="0054555A" w:rsidRPr="007C4AC4" w:rsidRDefault="0054555A">
            <w:pPr>
              <w:keepNext/>
              <w:keepLines/>
              <w:rPr>
                <w:sz w:val="20"/>
                <w:szCs w:val="20"/>
              </w:rPr>
            </w:pPr>
            <w:r w:rsidRPr="007C4AC4">
              <w:rPr>
                <w:sz w:val="20"/>
                <w:szCs w:val="20"/>
              </w:rPr>
              <w:t>For trips from the airport rank</w:t>
            </w:r>
          </w:p>
        </w:tc>
        <w:tc>
          <w:tcPr>
            <w:tcW w:w="2015" w:type="dxa"/>
            <w:shd w:val="clear" w:color="auto" w:fill="F2F2F2" w:themeFill="background1" w:themeFillShade="F2"/>
          </w:tcPr>
          <w:p w14:paraId="3B909931" w14:textId="77777777" w:rsidR="0054555A" w:rsidRPr="007C4AC4" w:rsidRDefault="0054555A">
            <w:pPr>
              <w:keepNext/>
              <w:keepLines/>
              <w:rPr>
                <w:sz w:val="20"/>
                <w:szCs w:val="20"/>
              </w:rPr>
            </w:pPr>
            <w:r w:rsidRPr="007C4AC4">
              <w:rPr>
                <w:sz w:val="20"/>
                <w:szCs w:val="20"/>
              </w:rPr>
              <w:t>Pass-through</w:t>
            </w:r>
          </w:p>
        </w:tc>
      </w:tr>
      <w:tr w:rsidR="0054555A" w:rsidRPr="007C4AC4" w14:paraId="69EB38C7" w14:textId="77777777">
        <w:tc>
          <w:tcPr>
            <w:tcW w:w="3625" w:type="dxa"/>
            <w:shd w:val="clear" w:color="auto" w:fill="F2F2F2" w:themeFill="background1" w:themeFillShade="F2"/>
          </w:tcPr>
          <w:p w14:paraId="1AC8CF93" w14:textId="4DF5372A" w:rsidR="0054555A" w:rsidRPr="007C4AC4" w:rsidRDefault="0054555A">
            <w:pPr>
              <w:keepNext/>
              <w:keepLines/>
              <w:rPr>
                <w:sz w:val="20"/>
                <w:szCs w:val="20"/>
              </w:rPr>
            </w:pPr>
            <w:r w:rsidRPr="007C4AC4">
              <w:rPr>
                <w:sz w:val="20"/>
                <w:szCs w:val="20"/>
              </w:rPr>
              <w:t xml:space="preserve">Holiday rate </w:t>
            </w:r>
            <w:r w:rsidRPr="00A81ECD">
              <w:rPr>
                <w:b/>
                <w:bCs/>
                <w:sz w:val="20"/>
                <w:szCs w:val="20"/>
                <w:vertAlign w:val="superscript"/>
              </w:rPr>
              <w:t>c</w:t>
            </w:r>
          </w:p>
        </w:tc>
        <w:tc>
          <w:tcPr>
            <w:tcW w:w="3998" w:type="dxa"/>
            <w:gridSpan w:val="2"/>
            <w:shd w:val="clear" w:color="auto" w:fill="F2F2F2" w:themeFill="background1" w:themeFillShade="F2"/>
          </w:tcPr>
          <w:p w14:paraId="24D00196" w14:textId="77777777" w:rsidR="0054555A" w:rsidRPr="007C4AC4" w:rsidRDefault="0054555A">
            <w:pPr>
              <w:keepNext/>
              <w:keepLines/>
              <w:tabs>
                <w:tab w:val="left" w:pos="2880"/>
              </w:tabs>
              <w:rPr>
                <w:sz w:val="20"/>
                <w:szCs w:val="20"/>
              </w:rPr>
            </w:pPr>
          </w:p>
        </w:tc>
        <w:tc>
          <w:tcPr>
            <w:tcW w:w="2015" w:type="dxa"/>
            <w:shd w:val="clear" w:color="auto" w:fill="F2F2F2" w:themeFill="background1" w:themeFillShade="F2"/>
          </w:tcPr>
          <w:p w14:paraId="5AD9A065" w14:textId="77777777" w:rsidR="0054555A" w:rsidRPr="007C4AC4" w:rsidRDefault="0054555A">
            <w:pPr>
              <w:keepNext/>
              <w:keepLines/>
              <w:rPr>
                <w:sz w:val="20"/>
                <w:szCs w:val="20"/>
              </w:rPr>
            </w:pPr>
            <w:r w:rsidRPr="007C4AC4">
              <w:rPr>
                <w:sz w:val="20"/>
                <w:szCs w:val="20"/>
              </w:rPr>
              <w:t>Tariff 3 rates</w:t>
            </w:r>
          </w:p>
        </w:tc>
      </w:tr>
      <w:tr w:rsidR="0054555A" w:rsidRPr="007C4AC4" w14:paraId="09A43B96" w14:textId="77777777">
        <w:tc>
          <w:tcPr>
            <w:tcW w:w="3625" w:type="dxa"/>
            <w:shd w:val="clear" w:color="auto" w:fill="F2F2F2" w:themeFill="background1" w:themeFillShade="F2"/>
          </w:tcPr>
          <w:p w14:paraId="7FEE0E52" w14:textId="77777777" w:rsidR="0054555A" w:rsidRPr="007C4AC4" w:rsidRDefault="0054555A">
            <w:pPr>
              <w:keepNext/>
              <w:keepLines/>
              <w:rPr>
                <w:sz w:val="20"/>
                <w:szCs w:val="20"/>
              </w:rPr>
            </w:pPr>
            <w:r w:rsidRPr="007C4AC4">
              <w:rPr>
                <w:sz w:val="20"/>
                <w:szCs w:val="20"/>
              </w:rPr>
              <w:t>CPV levy recovery fee</w:t>
            </w:r>
          </w:p>
        </w:tc>
        <w:tc>
          <w:tcPr>
            <w:tcW w:w="3998" w:type="dxa"/>
            <w:gridSpan w:val="2"/>
            <w:shd w:val="clear" w:color="auto" w:fill="F2F2F2" w:themeFill="background1" w:themeFillShade="F2"/>
          </w:tcPr>
          <w:p w14:paraId="6AA84C6F" w14:textId="77777777" w:rsidR="0054555A" w:rsidRPr="007C4AC4" w:rsidRDefault="0054555A">
            <w:pPr>
              <w:keepNext/>
              <w:keepLines/>
              <w:tabs>
                <w:tab w:val="left" w:pos="2880"/>
              </w:tabs>
              <w:rPr>
                <w:sz w:val="20"/>
                <w:szCs w:val="20"/>
              </w:rPr>
            </w:pPr>
          </w:p>
        </w:tc>
        <w:tc>
          <w:tcPr>
            <w:tcW w:w="2015" w:type="dxa"/>
            <w:shd w:val="clear" w:color="auto" w:fill="F2F2F2" w:themeFill="background1" w:themeFillShade="F2"/>
          </w:tcPr>
          <w:p w14:paraId="558926D9" w14:textId="77777777" w:rsidR="0054555A" w:rsidRPr="007C4AC4" w:rsidRDefault="0054555A">
            <w:pPr>
              <w:keepNext/>
              <w:keepLines/>
              <w:rPr>
                <w:sz w:val="20"/>
                <w:szCs w:val="20"/>
              </w:rPr>
            </w:pPr>
            <w:r w:rsidRPr="007C4AC4">
              <w:rPr>
                <w:sz w:val="20"/>
                <w:szCs w:val="20"/>
              </w:rPr>
              <w:t>Pass-through</w:t>
            </w:r>
          </w:p>
        </w:tc>
      </w:tr>
      <w:tr w:rsidR="0054555A" w:rsidRPr="007C4AC4" w14:paraId="3FDD658D" w14:textId="77777777">
        <w:tc>
          <w:tcPr>
            <w:tcW w:w="3625" w:type="dxa"/>
            <w:shd w:val="clear" w:color="auto" w:fill="F2F2F2" w:themeFill="background1" w:themeFillShade="F2"/>
          </w:tcPr>
          <w:p w14:paraId="7C8E9A6B" w14:textId="12E23705" w:rsidR="0054555A" w:rsidRPr="007C4AC4" w:rsidRDefault="0054555A">
            <w:pPr>
              <w:keepNext/>
              <w:keepLines/>
              <w:rPr>
                <w:sz w:val="20"/>
                <w:szCs w:val="20"/>
              </w:rPr>
            </w:pPr>
            <w:r w:rsidRPr="007C4AC4">
              <w:rPr>
                <w:sz w:val="20"/>
                <w:szCs w:val="20"/>
              </w:rPr>
              <w:t xml:space="preserve">CityLink and EastLink tolls </w:t>
            </w:r>
            <w:r w:rsidRPr="00A81ECD">
              <w:rPr>
                <w:b/>
                <w:sz w:val="20"/>
                <w:szCs w:val="20"/>
                <w:vertAlign w:val="superscript"/>
              </w:rPr>
              <w:t>d</w:t>
            </w:r>
          </w:p>
        </w:tc>
        <w:tc>
          <w:tcPr>
            <w:tcW w:w="3998" w:type="dxa"/>
            <w:gridSpan w:val="2"/>
            <w:shd w:val="clear" w:color="auto" w:fill="F2F2F2" w:themeFill="background1" w:themeFillShade="F2"/>
          </w:tcPr>
          <w:p w14:paraId="05C6EC2B" w14:textId="77777777" w:rsidR="0054555A" w:rsidRPr="007C4AC4" w:rsidRDefault="0054555A">
            <w:pPr>
              <w:keepNext/>
              <w:keepLines/>
              <w:tabs>
                <w:tab w:val="left" w:pos="2880"/>
              </w:tabs>
              <w:rPr>
                <w:sz w:val="20"/>
                <w:szCs w:val="20"/>
              </w:rPr>
            </w:pPr>
          </w:p>
        </w:tc>
        <w:tc>
          <w:tcPr>
            <w:tcW w:w="2015" w:type="dxa"/>
            <w:shd w:val="clear" w:color="auto" w:fill="F2F2F2" w:themeFill="background1" w:themeFillShade="F2"/>
          </w:tcPr>
          <w:p w14:paraId="3B5ED350" w14:textId="77777777" w:rsidR="0054555A" w:rsidRPr="007C4AC4" w:rsidRDefault="0054555A">
            <w:pPr>
              <w:keepNext/>
              <w:keepLines/>
              <w:rPr>
                <w:sz w:val="20"/>
                <w:szCs w:val="20"/>
              </w:rPr>
            </w:pPr>
            <w:r w:rsidRPr="007C4AC4">
              <w:rPr>
                <w:sz w:val="20"/>
                <w:szCs w:val="20"/>
              </w:rPr>
              <w:t>Pass-through</w:t>
            </w:r>
          </w:p>
        </w:tc>
      </w:tr>
      <w:tr w:rsidR="0054555A" w:rsidRPr="007C4AC4" w14:paraId="09605737" w14:textId="77777777">
        <w:tc>
          <w:tcPr>
            <w:tcW w:w="3625" w:type="dxa"/>
            <w:shd w:val="clear" w:color="auto" w:fill="F2F2F2" w:themeFill="background1" w:themeFillShade="F2"/>
          </w:tcPr>
          <w:p w14:paraId="2B8DA29F" w14:textId="77777777" w:rsidR="0054555A" w:rsidRPr="007C4AC4" w:rsidRDefault="0054555A">
            <w:pPr>
              <w:keepNext/>
              <w:keepLines/>
              <w:rPr>
                <w:sz w:val="20"/>
                <w:szCs w:val="20"/>
              </w:rPr>
            </w:pPr>
            <w:r w:rsidRPr="007C4AC4">
              <w:rPr>
                <w:sz w:val="20"/>
                <w:szCs w:val="20"/>
              </w:rPr>
              <w:t>Cleaning fee</w:t>
            </w:r>
          </w:p>
        </w:tc>
        <w:tc>
          <w:tcPr>
            <w:tcW w:w="6013" w:type="dxa"/>
            <w:gridSpan w:val="3"/>
            <w:shd w:val="clear" w:color="auto" w:fill="F2F2F2" w:themeFill="background1" w:themeFillShade="F2"/>
          </w:tcPr>
          <w:p w14:paraId="73A483C7" w14:textId="77777777" w:rsidR="0054555A" w:rsidRPr="007C4AC4" w:rsidRDefault="0054555A">
            <w:pPr>
              <w:keepNext/>
              <w:keepLines/>
              <w:jc w:val="right"/>
              <w:rPr>
                <w:sz w:val="20"/>
                <w:szCs w:val="20"/>
              </w:rPr>
            </w:pPr>
            <w:r w:rsidRPr="007C4AC4">
              <w:rPr>
                <w:sz w:val="20"/>
                <w:szCs w:val="20"/>
              </w:rPr>
              <w:t>Up to a maximum of $120</w:t>
            </w:r>
          </w:p>
        </w:tc>
      </w:tr>
    </w:tbl>
    <w:p w14:paraId="1BDB92A0" w14:textId="5FCD99B1" w:rsidR="0054555A" w:rsidRPr="007C4AC4" w:rsidRDefault="0054555A" w:rsidP="0054555A">
      <w:pPr>
        <w:keepNext/>
        <w:keepLines/>
        <w:spacing w:before="0" w:after="0" w:line="240" w:lineRule="auto"/>
        <w:rPr>
          <w:rFonts w:ascii="Arial" w:eastAsia="Arial" w:hAnsi="Arial" w:cs="Arial"/>
          <w:iCs/>
          <w:color w:val="4986A0"/>
          <w:sz w:val="18"/>
          <w:szCs w:val="20"/>
        </w:rPr>
      </w:pPr>
      <w:proofErr w:type="spellStart"/>
      <w:r w:rsidRPr="00A81ECD">
        <w:rPr>
          <w:rFonts w:ascii="Arial" w:eastAsia="Arial" w:hAnsi="Arial" w:cs="Arial"/>
          <w:iCs/>
          <w:color w:val="4986A0"/>
          <w:sz w:val="18"/>
          <w:szCs w:val="18"/>
          <w:vertAlign w:val="superscript"/>
        </w:rPr>
        <w:t>a</w:t>
      </w:r>
      <w:proofErr w:type="spellEnd"/>
      <w:r w:rsidRPr="007C4AC4">
        <w:rPr>
          <w:rFonts w:ascii="Arial" w:eastAsia="Arial" w:hAnsi="Arial" w:cs="Arial"/>
          <w:iCs/>
          <w:color w:val="4986A0"/>
          <w:sz w:val="18"/>
          <w:szCs w:val="18"/>
        </w:rPr>
        <w:t xml:space="preserve"> </w:t>
      </w:r>
      <w:proofErr w:type="gramStart"/>
      <w:r w:rsidRPr="007C4AC4">
        <w:rPr>
          <w:rFonts w:ascii="Arial" w:eastAsia="Arial" w:hAnsi="Arial" w:cs="Arial"/>
          <w:iCs/>
          <w:color w:val="4986A0"/>
          <w:sz w:val="18"/>
          <w:szCs w:val="18"/>
        </w:rPr>
        <w:t>For</w:t>
      </w:r>
      <w:proofErr w:type="gramEnd"/>
      <w:r w:rsidRPr="007C4AC4">
        <w:rPr>
          <w:rFonts w:ascii="Arial" w:eastAsia="Arial" w:hAnsi="Arial" w:cs="Arial"/>
          <w:iCs/>
          <w:color w:val="4986A0"/>
          <w:sz w:val="18"/>
          <w:szCs w:val="18"/>
        </w:rPr>
        <w:t xml:space="preserve"> taxis carrying 5 to 11 passengers</w:t>
      </w:r>
      <w:r w:rsidR="0046094C">
        <w:rPr>
          <w:rFonts w:ascii="Arial" w:eastAsia="Arial" w:hAnsi="Arial" w:cs="Arial"/>
          <w:iCs/>
          <w:color w:val="4986A0"/>
          <w:sz w:val="18"/>
          <w:szCs w:val="18"/>
        </w:rPr>
        <w:t xml:space="preserve"> (excluding children under 5)</w:t>
      </w:r>
      <w:r w:rsidRPr="007C4AC4">
        <w:rPr>
          <w:rFonts w:ascii="Arial" w:eastAsia="Arial" w:hAnsi="Arial" w:cs="Arial"/>
          <w:iCs/>
          <w:color w:val="4986A0"/>
          <w:sz w:val="18"/>
          <w:szCs w:val="18"/>
        </w:rPr>
        <w:t>.</w:t>
      </w:r>
      <w:r w:rsidR="00A81ECD">
        <w:rPr>
          <w:rFonts w:ascii="Arial" w:eastAsia="Arial" w:hAnsi="Arial" w:cs="Arial"/>
          <w:iCs/>
          <w:color w:val="4986A0"/>
          <w:sz w:val="18"/>
          <w:szCs w:val="18"/>
        </w:rPr>
        <w:t xml:space="preserve"> </w:t>
      </w:r>
      <w:r w:rsidRPr="00A81ECD">
        <w:rPr>
          <w:rFonts w:ascii="Arial" w:eastAsia="Arial" w:hAnsi="Arial" w:cs="Arial"/>
          <w:iCs/>
          <w:color w:val="4986A0"/>
          <w:sz w:val="18"/>
          <w:szCs w:val="18"/>
          <w:vertAlign w:val="superscript"/>
        </w:rPr>
        <w:t>b</w:t>
      </w:r>
      <w:r w:rsidR="00A81ECD">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As</w:t>
      </w:r>
      <w:proofErr w:type="gramEnd"/>
      <w:r w:rsidRPr="007C4AC4">
        <w:rPr>
          <w:rFonts w:ascii="Arial" w:eastAsia="Arial" w:hAnsi="Arial" w:cs="Arial"/>
          <w:iCs/>
          <w:color w:val="4986A0"/>
          <w:sz w:val="18"/>
          <w:szCs w:val="18"/>
        </w:rPr>
        <w:t xml:space="preserve"> published by that airport in a daily newspaper generally circulating in Victoria and on that airport’s website.</w:t>
      </w:r>
      <w:r w:rsidR="00A81ECD">
        <w:rPr>
          <w:rFonts w:ascii="Arial" w:eastAsia="Arial" w:hAnsi="Arial" w:cs="Arial"/>
          <w:iCs/>
          <w:color w:val="4986A0"/>
          <w:sz w:val="18"/>
          <w:szCs w:val="18"/>
        </w:rPr>
        <w:t xml:space="preserve"> </w:t>
      </w:r>
      <w:r w:rsidRPr="00A81ECD">
        <w:rPr>
          <w:rFonts w:ascii="Arial" w:eastAsia="Arial" w:hAnsi="Arial" w:cs="Arial"/>
          <w:iCs/>
          <w:color w:val="4986A0"/>
          <w:sz w:val="18"/>
          <w:szCs w:val="18"/>
          <w:vertAlign w:val="superscript"/>
        </w:rPr>
        <w:t>c</w:t>
      </w:r>
      <w:r w:rsidR="00A81ECD">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For</w:t>
      </w:r>
      <w:proofErr w:type="gramEnd"/>
      <w:r w:rsidRPr="007C4AC4">
        <w:rPr>
          <w:rFonts w:ascii="Arial" w:eastAsia="Arial" w:hAnsi="Arial" w:cs="Arial"/>
          <w:iCs/>
          <w:color w:val="4986A0"/>
          <w:sz w:val="18"/>
          <w:szCs w:val="18"/>
        </w:rPr>
        <w:t xml:space="preserve"> trips commencing on Christmas Day, Boxing Day, New Year’s Day and from 6pm on New Year’s Eve.</w:t>
      </w:r>
      <w:r w:rsidR="00A81ECD">
        <w:rPr>
          <w:rFonts w:ascii="Arial" w:eastAsia="Arial" w:hAnsi="Arial" w:cs="Arial"/>
          <w:iCs/>
          <w:color w:val="4986A0"/>
          <w:sz w:val="18"/>
          <w:szCs w:val="18"/>
        </w:rPr>
        <w:t xml:space="preserve"> </w:t>
      </w:r>
      <w:r w:rsidRPr="00A81ECD">
        <w:rPr>
          <w:rFonts w:ascii="Arial" w:eastAsia="Arial" w:hAnsi="Arial" w:cs="Arial"/>
          <w:iCs/>
          <w:color w:val="4986A0"/>
          <w:sz w:val="18"/>
          <w:szCs w:val="20"/>
          <w:vertAlign w:val="superscript"/>
        </w:rPr>
        <w:t>d</w:t>
      </w:r>
      <w:r w:rsidR="00A81ECD">
        <w:rPr>
          <w:rFonts w:ascii="Arial" w:eastAsia="Arial" w:hAnsi="Arial" w:cs="Arial"/>
          <w:iCs/>
          <w:color w:val="4986A0"/>
          <w:sz w:val="18"/>
          <w:szCs w:val="20"/>
        </w:rPr>
        <w:t> </w:t>
      </w:r>
      <w:proofErr w:type="gramStart"/>
      <w:r w:rsidRPr="007C4AC4">
        <w:rPr>
          <w:rFonts w:ascii="Arial" w:eastAsia="Arial" w:hAnsi="Arial" w:cs="Arial"/>
          <w:iCs/>
          <w:color w:val="4986A0"/>
          <w:sz w:val="18"/>
          <w:szCs w:val="20"/>
        </w:rPr>
        <w:t>As</w:t>
      </w:r>
      <w:proofErr w:type="gramEnd"/>
      <w:r w:rsidRPr="007C4AC4">
        <w:rPr>
          <w:rFonts w:ascii="Arial" w:eastAsia="Arial" w:hAnsi="Arial" w:cs="Arial"/>
          <w:iCs/>
          <w:color w:val="4986A0"/>
          <w:sz w:val="18"/>
          <w:szCs w:val="20"/>
        </w:rPr>
        <w:t xml:space="preserve"> published from time to time in the </w:t>
      </w:r>
      <w:r w:rsidRPr="0046094C">
        <w:rPr>
          <w:rFonts w:ascii="Arial" w:eastAsia="Arial" w:hAnsi="Arial" w:cs="Arial"/>
          <w:i/>
          <w:color w:val="4986A0"/>
          <w:sz w:val="18"/>
          <w:szCs w:val="20"/>
        </w:rPr>
        <w:t>Victorian Government Gazette</w:t>
      </w:r>
      <w:r w:rsidRPr="007C4AC4">
        <w:rPr>
          <w:rFonts w:ascii="Arial" w:eastAsia="Arial" w:hAnsi="Arial" w:cs="Arial"/>
          <w:iCs/>
          <w:color w:val="4986A0"/>
          <w:sz w:val="18"/>
          <w:szCs w:val="20"/>
        </w:rPr>
        <w:t xml:space="preserve"> in accordance with the </w:t>
      </w:r>
      <w:r w:rsidRPr="0046094C">
        <w:rPr>
          <w:rFonts w:ascii="Arial" w:eastAsia="Arial" w:hAnsi="Arial" w:cs="Arial"/>
          <w:i/>
          <w:color w:val="4986A0"/>
          <w:sz w:val="18"/>
          <w:szCs w:val="20"/>
        </w:rPr>
        <w:t>Melbourne City Link Act</w:t>
      </w:r>
      <w:r w:rsidR="0031202E">
        <w:rPr>
          <w:rFonts w:ascii="Arial" w:eastAsia="Arial" w:hAnsi="Arial" w:cs="Arial"/>
          <w:i/>
          <w:color w:val="4986A0"/>
          <w:sz w:val="18"/>
          <w:szCs w:val="20"/>
        </w:rPr>
        <w:t xml:space="preserve"> </w:t>
      </w:r>
      <w:r w:rsidRPr="0046094C">
        <w:rPr>
          <w:rFonts w:ascii="Arial" w:eastAsia="Arial" w:hAnsi="Arial" w:cs="Arial"/>
          <w:i/>
          <w:color w:val="4986A0"/>
          <w:sz w:val="18"/>
          <w:szCs w:val="20"/>
        </w:rPr>
        <w:t>1995</w:t>
      </w:r>
      <w:r w:rsidRPr="007C4AC4">
        <w:rPr>
          <w:rFonts w:ascii="Arial" w:eastAsia="Arial" w:hAnsi="Arial" w:cs="Arial"/>
          <w:iCs/>
          <w:color w:val="4986A0"/>
          <w:sz w:val="18"/>
          <w:szCs w:val="20"/>
        </w:rPr>
        <w:t xml:space="preserve"> or the </w:t>
      </w:r>
      <w:r w:rsidRPr="0046094C">
        <w:rPr>
          <w:rFonts w:ascii="Arial" w:eastAsia="Arial" w:hAnsi="Arial" w:cs="Arial"/>
          <w:i/>
          <w:color w:val="4986A0"/>
          <w:sz w:val="18"/>
          <w:szCs w:val="20"/>
        </w:rPr>
        <w:t>EastLink Project Act 2004</w:t>
      </w:r>
      <w:r w:rsidRPr="007C4AC4">
        <w:rPr>
          <w:rFonts w:ascii="Arial" w:eastAsia="Arial" w:hAnsi="Arial" w:cs="Arial"/>
          <w:iCs/>
          <w:color w:val="4986A0"/>
          <w:sz w:val="18"/>
          <w:szCs w:val="20"/>
        </w:rPr>
        <w:t xml:space="preserve"> as applicable.</w:t>
      </w:r>
    </w:p>
    <w:p w14:paraId="7A59A133" w14:textId="77777777" w:rsidR="0054555A" w:rsidRPr="007C4AC4" w:rsidRDefault="0054555A" w:rsidP="0054555A">
      <w:pPr>
        <w:spacing w:before="0" w:line="259" w:lineRule="auto"/>
        <w:rPr>
          <w:rFonts w:ascii="Tahoma" w:eastAsia="SimHei" w:hAnsi="Tahoma" w:cs="Arial"/>
          <w:b/>
          <w:sz w:val="26"/>
          <w:szCs w:val="26"/>
        </w:rPr>
      </w:pPr>
      <w:r w:rsidRPr="007C4AC4">
        <w:rPr>
          <w:rFonts w:ascii="Tahoma" w:eastAsia="SimHei" w:hAnsi="Tahoma" w:cs="Arial"/>
          <w:b/>
          <w:sz w:val="26"/>
          <w:szCs w:val="26"/>
        </w:rPr>
        <w:br w:type="page"/>
      </w:r>
    </w:p>
    <w:p w14:paraId="5B8A2134" w14:textId="77777777" w:rsidR="0054555A" w:rsidRPr="007C4AC4" w:rsidRDefault="0054555A" w:rsidP="0054555A">
      <w:pPr>
        <w:keepNext/>
        <w:keepLines/>
        <w:spacing w:before="240"/>
        <w:outlineLvl w:val="1"/>
        <w:rPr>
          <w:rFonts w:ascii="Tahoma" w:eastAsia="SimHei" w:hAnsi="Tahoma" w:cs="Arial"/>
          <w:b/>
          <w:sz w:val="26"/>
          <w:szCs w:val="26"/>
        </w:rPr>
      </w:pPr>
      <w:r>
        <w:rPr>
          <w:rFonts w:ascii="Tahoma" w:eastAsia="SimHei" w:hAnsi="Tahoma" w:cs="Arial"/>
          <w:b/>
          <w:sz w:val="26"/>
          <w:szCs w:val="26"/>
        </w:rPr>
        <w:lastRenderedPageBreak/>
        <w:t xml:space="preserve">Large regional area  </w:t>
      </w:r>
      <w:bookmarkEnd w:id="73"/>
    </w:p>
    <w:p w14:paraId="5D28B582" w14:textId="45F8CD16" w:rsidR="0054555A" w:rsidRPr="007C4AC4" w:rsidRDefault="0054555A" w:rsidP="0054555A">
      <w:pPr>
        <w:keepNext/>
        <w:keepLines/>
        <w:spacing w:before="120" w:after="120"/>
        <w:outlineLvl w:val="2"/>
        <w:rPr>
          <w:rFonts w:ascii="Arial" w:eastAsia="SimHei" w:hAnsi="Arial" w:cs="Arial"/>
          <w:b/>
          <w:color w:val="4986A0"/>
          <w:szCs w:val="24"/>
        </w:rPr>
      </w:pPr>
      <w:r w:rsidRPr="007C4AC4">
        <w:rPr>
          <w:rFonts w:ascii="Arial" w:eastAsia="SimHei" w:hAnsi="Arial" w:cs="Arial"/>
          <w:b/>
          <w:color w:val="4986A0"/>
          <w:szCs w:val="24"/>
        </w:rPr>
        <w:t xml:space="preserve">Table </w:t>
      </w:r>
      <w:r w:rsidR="00CD0D89">
        <w:rPr>
          <w:rFonts w:ascii="Arial" w:eastAsia="SimHei" w:hAnsi="Arial" w:cs="Arial"/>
          <w:b/>
          <w:color w:val="4986A0"/>
          <w:szCs w:val="24"/>
        </w:rPr>
        <w:t>B</w:t>
      </w:r>
      <w:r w:rsidRPr="007C4AC4">
        <w:rPr>
          <w:rFonts w:ascii="Arial" w:eastAsia="SimHei" w:hAnsi="Arial" w:cs="Arial"/>
          <w:b/>
          <w:color w:val="4986A0"/>
          <w:szCs w:val="24"/>
        </w:rPr>
        <w:t xml:space="preserve">.3: </w:t>
      </w:r>
      <w:r>
        <w:rPr>
          <w:rFonts w:ascii="Arial" w:eastAsia="SimHei" w:hAnsi="Arial" w:cs="Arial"/>
          <w:b/>
          <w:color w:val="4986A0"/>
          <w:szCs w:val="24"/>
        </w:rPr>
        <w:t>M</w:t>
      </w:r>
      <w:r w:rsidRPr="007C4AC4">
        <w:rPr>
          <w:rFonts w:ascii="Arial" w:eastAsia="SimHei" w:hAnsi="Arial" w:cs="Arial"/>
          <w:b/>
          <w:color w:val="4986A0"/>
          <w:szCs w:val="24"/>
        </w:rPr>
        <w:t xml:space="preserve">aximum fares for unbooked </w:t>
      </w:r>
      <w:r>
        <w:rPr>
          <w:rFonts w:ascii="Arial" w:eastAsia="SimHei" w:hAnsi="Arial" w:cs="Arial"/>
          <w:b/>
          <w:color w:val="4986A0"/>
          <w:szCs w:val="24"/>
        </w:rPr>
        <w:t>taxi</w:t>
      </w:r>
      <w:r w:rsidRPr="007C4AC4">
        <w:rPr>
          <w:rFonts w:ascii="Arial" w:eastAsia="SimHei" w:hAnsi="Arial" w:cs="Arial"/>
          <w:b/>
          <w:color w:val="4986A0"/>
          <w:szCs w:val="24"/>
        </w:rPr>
        <w:t xml:space="preserve"> services that begin in the</w:t>
      </w:r>
      <w:r>
        <w:rPr>
          <w:rFonts w:ascii="Arial" w:eastAsia="SimHei" w:hAnsi="Arial" w:cs="Arial"/>
          <w:b/>
          <w:color w:val="4986A0"/>
          <w:szCs w:val="24"/>
        </w:rPr>
        <w:t xml:space="preserve"> large regional area of the Urban and</w:t>
      </w:r>
      <w:r w:rsidRPr="007C4AC4">
        <w:rPr>
          <w:rFonts w:ascii="Arial" w:eastAsia="SimHei" w:hAnsi="Arial" w:cs="Arial"/>
          <w:b/>
          <w:color w:val="4986A0"/>
          <w:szCs w:val="24"/>
        </w:rPr>
        <w:t xml:space="preserve"> Large Regional </w:t>
      </w:r>
      <w:r>
        <w:rPr>
          <w:rFonts w:ascii="Arial" w:eastAsia="SimHei" w:hAnsi="Arial" w:cs="Arial"/>
          <w:b/>
          <w:color w:val="4986A0"/>
          <w:szCs w:val="24"/>
        </w:rPr>
        <w:t xml:space="preserve">Zone, </w:t>
      </w:r>
      <w:r w:rsidRPr="007C4AC4">
        <w:rPr>
          <w:rFonts w:ascii="Arial" w:eastAsia="SimHei" w:hAnsi="Arial" w:cs="Arial"/>
          <w:b/>
          <w:color w:val="4986A0"/>
          <w:szCs w:val="24"/>
        </w:rPr>
        <w:t xml:space="preserve">including Geelong, Ballarat and Bendigo </w:t>
      </w:r>
      <w:r>
        <w:rPr>
          <w:rFonts w:ascii="Arial" w:eastAsia="SimHei" w:hAnsi="Arial" w:cs="Arial"/>
          <w:b/>
          <w:color w:val="4986A0"/>
          <w:szCs w:val="24"/>
        </w:rPr>
        <w:t xml:space="preserve">– </w:t>
      </w:r>
      <w:r w:rsidRPr="007C4AC4">
        <w:rPr>
          <w:rFonts w:ascii="Arial" w:eastAsia="SimHei" w:hAnsi="Arial" w:cs="Arial"/>
          <w:b/>
          <w:color w:val="4986A0"/>
          <w:szCs w:val="24"/>
        </w:rPr>
        <w:t xml:space="preserve">‘time </w:t>
      </w:r>
      <w:r w:rsidRPr="007C4AC4">
        <w:rPr>
          <w:rFonts w:ascii="Arial" w:eastAsia="SimHei" w:hAnsi="Arial" w:cs="Arial"/>
          <w:b/>
          <w:color w:val="4986A0"/>
          <w:szCs w:val="24"/>
          <w:u w:val="single"/>
        </w:rPr>
        <w:t>or</w:t>
      </w:r>
      <w:r w:rsidRPr="007C4AC4">
        <w:rPr>
          <w:rFonts w:ascii="Arial" w:eastAsia="SimHei" w:hAnsi="Arial" w:cs="Arial"/>
          <w:b/>
          <w:color w:val="4986A0"/>
          <w:szCs w:val="24"/>
        </w:rPr>
        <w:t xml:space="preserve"> distance’ </w:t>
      </w:r>
      <w:proofErr w:type="gramStart"/>
      <w:r w:rsidRPr="007C4AC4">
        <w:rPr>
          <w:rFonts w:ascii="Arial" w:eastAsia="SimHei" w:hAnsi="Arial" w:cs="Arial"/>
          <w:b/>
          <w:color w:val="4986A0"/>
          <w:szCs w:val="24"/>
        </w:rPr>
        <w:t>tariffs</w:t>
      </w:r>
      <w:proofErr w:type="gramEnd"/>
    </w:p>
    <w:tbl>
      <w:tblPr>
        <w:tblStyle w:val="TwoColumnImage"/>
        <w:tblW w:w="0" w:type="auto"/>
        <w:jc w:val="center"/>
        <w:tblLook w:val="04A0" w:firstRow="1" w:lastRow="0" w:firstColumn="1" w:lastColumn="0" w:noHBand="0" w:noVBand="1"/>
      </w:tblPr>
      <w:tblGrid>
        <w:gridCol w:w="3150"/>
        <w:gridCol w:w="4801"/>
        <w:gridCol w:w="1687"/>
      </w:tblGrid>
      <w:tr w:rsidR="0054555A" w:rsidRPr="007C4AC4" w14:paraId="5E2631DB" w14:textId="77777777">
        <w:trPr>
          <w:jc w:val="center"/>
        </w:trPr>
        <w:tc>
          <w:tcPr>
            <w:tcW w:w="7951" w:type="dxa"/>
            <w:gridSpan w:val="2"/>
            <w:shd w:val="clear" w:color="auto" w:fill="4986A0" w:themeFill="text2"/>
          </w:tcPr>
          <w:p w14:paraId="7DC83276" w14:textId="77777777" w:rsidR="0054555A" w:rsidRPr="007C4AC4" w:rsidRDefault="0054555A">
            <w:pPr>
              <w:keepNext/>
              <w:keepLines/>
              <w:rPr>
                <w:b/>
                <w:color w:val="FFFFFF" w:themeColor="background1"/>
                <w:sz w:val="20"/>
                <w:szCs w:val="20"/>
              </w:rPr>
            </w:pPr>
            <w:r w:rsidRPr="007C4AC4">
              <w:rPr>
                <w:b/>
                <w:color w:val="FFFFFF" w:themeColor="background1"/>
                <w:sz w:val="20"/>
                <w:szCs w:val="20"/>
              </w:rPr>
              <w:t>Fare component</w:t>
            </w:r>
          </w:p>
        </w:tc>
        <w:tc>
          <w:tcPr>
            <w:tcW w:w="1687" w:type="dxa"/>
            <w:shd w:val="clear" w:color="auto" w:fill="4986A0" w:themeFill="text2"/>
          </w:tcPr>
          <w:p w14:paraId="0444CAD6" w14:textId="77777777" w:rsidR="0054555A" w:rsidRPr="007C4AC4" w:rsidRDefault="0054555A">
            <w:pPr>
              <w:keepNext/>
              <w:keepLines/>
              <w:rPr>
                <w:b/>
                <w:color w:val="FFFFFF" w:themeColor="background1"/>
                <w:sz w:val="20"/>
                <w:szCs w:val="20"/>
              </w:rPr>
            </w:pPr>
            <w:r w:rsidRPr="007C4AC4">
              <w:rPr>
                <w:b/>
                <w:color w:val="FFFFFF" w:themeColor="background1"/>
                <w:sz w:val="20"/>
                <w:szCs w:val="20"/>
              </w:rPr>
              <w:t>Maximum charge</w:t>
            </w:r>
          </w:p>
        </w:tc>
      </w:tr>
      <w:tr w:rsidR="0054555A" w:rsidRPr="007C4AC4" w14:paraId="430C3C90" w14:textId="77777777">
        <w:trPr>
          <w:jc w:val="center"/>
        </w:trPr>
        <w:tc>
          <w:tcPr>
            <w:tcW w:w="7951" w:type="dxa"/>
            <w:gridSpan w:val="2"/>
            <w:shd w:val="clear" w:color="auto" w:fill="E3E3E4" w:themeFill="background2" w:themeFillTint="33"/>
          </w:tcPr>
          <w:p w14:paraId="7A538EA6" w14:textId="77777777" w:rsidR="0054555A" w:rsidRPr="007C4AC4" w:rsidRDefault="0054555A">
            <w:pPr>
              <w:keepNext/>
              <w:keepLines/>
              <w:rPr>
                <w:b/>
                <w:sz w:val="20"/>
                <w:szCs w:val="20"/>
              </w:rPr>
            </w:pPr>
            <w:r w:rsidRPr="007C4AC4">
              <w:rPr>
                <w:b/>
                <w:sz w:val="20"/>
                <w:szCs w:val="20"/>
              </w:rPr>
              <w:t>Standard fare components</w:t>
            </w:r>
          </w:p>
        </w:tc>
        <w:tc>
          <w:tcPr>
            <w:tcW w:w="1687" w:type="dxa"/>
            <w:shd w:val="clear" w:color="auto" w:fill="E3E3E4" w:themeFill="background2" w:themeFillTint="33"/>
          </w:tcPr>
          <w:p w14:paraId="72946C50" w14:textId="77777777" w:rsidR="0054555A" w:rsidRPr="007C4AC4" w:rsidRDefault="0054555A">
            <w:pPr>
              <w:keepNext/>
              <w:keepLines/>
              <w:jc w:val="center"/>
              <w:rPr>
                <w:b/>
                <w:sz w:val="20"/>
                <w:szCs w:val="20"/>
              </w:rPr>
            </w:pPr>
          </w:p>
        </w:tc>
      </w:tr>
      <w:tr w:rsidR="0054555A" w:rsidRPr="007C4AC4" w14:paraId="1497ACBE" w14:textId="77777777">
        <w:trPr>
          <w:jc w:val="center"/>
        </w:trPr>
        <w:tc>
          <w:tcPr>
            <w:tcW w:w="7951" w:type="dxa"/>
            <w:gridSpan w:val="2"/>
            <w:shd w:val="clear" w:color="auto" w:fill="F2F2F2" w:themeFill="background1" w:themeFillShade="F2"/>
          </w:tcPr>
          <w:p w14:paraId="477C31C2" w14:textId="77777777" w:rsidR="0054555A" w:rsidRPr="003A7733" w:rsidRDefault="0054555A">
            <w:pPr>
              <w:keepNext/>
              <w:keepLines/>
              <w:rPr>
                <w:sz w:val="20"/>
                <w:szCs w:val="20"/>
              </w:rPr>
            </w:pPr>
            <w:r w:rsidRPr="003A7733">
              <w:rPr>
                <w:sz w:val="20"/>
                <w:szCs w:val="20"/>
              </w:rPr>
              <w:t>Flagfall ($)</w:t>
            </w:r>
          </w:p>
        </w:tc>
        <w:tc>
          <w:tcPr>
            <w:tcW w:w="1687" w:type="dxa"/>
            <w:shd w:val="clear" w:color="auto" w:fill="F2F2F2" w:themeFill="background1" w:themeFillShade="F2"/>
          </w:tcPr>
          <w:p w14:paraId="028DCA54" w14:textId="29C42EB8" w:rsidR="0054555A" w:rsidRPr="003A7733" w:rsidRDefault="0054555A">
            <w:pPr>
              <w:keepNext/>
              <w:keepLines/>
              <w:rPr>
                <w:sz w:val="20"/>
                <w:szCs w:val="20"/>
              </w:rPr>
            </w:pPr>
            <w:r w:rsidRPr="003A7733">
              <w:rPr>
                <w:sz w:val="20"/>
                <w:szCs w:val="20"/>
              </w:rPr>
              <w:t>$4.</w:t>
            </w:r>
            <w:r w:rsidR="00F10EE8">
              <w:rPr>
                <w:sz w:val="20"/>
                <w:szCs w:val="20"/>
              </w:rPr>
              <w:t>15</w:t>
            </w:r>
          </w:p>
        </w:tc>
      </w:tr>
      <w:tr w:rsidR="0054555A" w:rsidRPr="007C4AC4" w14:paraId="0A49A1E4" w14:textId="77777777">
        <w:trPr>
          <w:jc w:val="center"/>
        </w:trPr>
        <w:tc>
          <w:tcPr>
            <w:tcW w:w="7951" w:type="dxa"/>
            <w:gridSpan w:val="2"/>
            <w:shd w:val="clear" w:color="auto" w:fill="F2F2F2" w:themeFill="background1" w:themeFillShade="F2"/>
          </w:tcPr>
          <w:p w14:paraId="19CABFA8" w14:textId="77777777" w:rsidR="0054555A" w:rsidRPr="003A7733" w:rsidRDefault="0054555A">
            <w:pPr>
              <w:keepNext/>
              <w:keepLines/>
              <w:spacing w:before="0"/>
              <w:rPr>
                <w:sz w:val="20"/>
                <w:szCs w:val="20"/>
              </w:rPr>
            </w:pPr>
            <w:r w:rsidRPr="003A7733">
              <w:rPr>
                <w:sz w:val="20"/>
                <w:szCs w:val="20"/>
              </w:rPr>
              <w:t>Distance rate ($/km) (applies when speed is above 21 km/hr)</w:t>
            </w:r>
          </w:p>
        </w:tc>
        <w:tc>
          <w:tcPr>
            <w:tcW w:w="1687" w:type="dxa"/>
            <w:shd w:val="clear" w:color="auto" w:fill="F2F2F2" w:themeFill="background1" w:themeFillShade="F2"/>
          </w:tcPr>
          <w:p w14:paraId="12275737" w14:textId="2CD727AE" w:rsidR="0054555A" w:rsidRPr="003A7733" w:rsidRDefault="0054555A">
            <w:pPr>
              <w:keepNext/>
              <w:keepLines/>
              <w:rPr>
                <w:sz w:val="20"/>
                <w:szCs w:val="20"/>
              </w:rPr>
            </w:pPr>
            <w:r w:rsidRPr="003A7733">
              <w:rPr>
                <w:sz w:val="20"/>
                <w:szCs w:val="20"/>
              </w:rPr>
              <w:t>$2.</w:t>
            </w:r>
            <w:r w:rsidR="00F10EE8">
              <w:rPr>
                <w:sz w:val="20"/>
                <w:szCs w:val="20"/>
              </w:rPr>
              <w:t>1</w:t>
            </w:r>
            <w:r w:rsidR="000D2C84">
              <w:rPr>
                <w:sz w:val="20"/>
                <w:szCs w:val="20"/>
              </w:rPr>
              <w:t>28</w:t>
            </w:r>
          </w:p>
        </w:tc>
      </w:tr>
      <w:tr w:rsidR="0054555A" w:rsidRPr="007C4AC4" w14:paraId="6F08FBE0" w14:textId="77777777">
        <w:trPr>
          <w:jc w:val="center"/>
        </w:trPr>
        <w:tc>
          <w:tcPr>
            <w:tcW w:w="7951" w:type="dxa"/>
            <w:gridSpan w:val="2"/>
            <w:shd w:val="clear" w:color="auto" w:fill="F2F2F2" w:themeFill="background1" w:themeFillShade="F2"/>
          </w:tcPr>
          <w:p w14:paraId="45D45130" w14:textId="05F48489" w:rsidR="0054555A" w:rsidRPr="003A7733" w:rsidRDefault="007A518E">
            <w:pPr>
              <w:keepNext/>
              <w:keepLines/>
              <w:spacing w:before="0"/>
              <w:rPr>
                <w:sz w:val="20"/>
                <w:szCs w:val="20"/>
              </w:rPr>
            </w:pPr>
            <w:r>
              <w:rPr>
                <w:sz w:val="20"/>
                <w:szCs w:val="20"/>
              </w:rPr>
              <w:t>Detention rate</w:t>
            </w:r>
            <w:r w:rsidR="0054555A" w:rsidRPr="003A7733">
              <w:rPr>
                <w:sz w:val="20"/>
                <w:szCs w:val="20"/>
              </w:rPr>
              <w:t xml:space="preserve"> ($/min) (applies when speed is below 21 km/hr)</w:t>
            </w:r>
          </w:p>
        </w:tc>
        <w:tc>
          <w:tcPr>
            <w:tcW w:w="1687" w:type="dxa"/>
            <w:shd w:val="clear" w:color="auto" w:fill="F2F2F2" w:themeFill="background1" w:themeFillShade="F2"/>
          </w:tcPr>
          <w:p w14:paraId="7D3B8277" w14:textId="2431698D" w:rsidR="0054555A" w:rsidRPr="003A7733" w:rsidRDefault="0054555A">
            <w:pPr>
              <w:keepNext/>
              <w:keepLines/>
              <w:rPr>
                <w:sz w:val="20"/>
                <w:szCs w:val="20"/>
              </w:rPr>
            </w:pPr>
            <w:r w:rsidRPr="003A7733">
              <w:rPr>
                <w:sz w:val="20"/>
                <w:szCs w:val="20"/>
              </w:rPr>
              <w:t>$0.7</w:t>
            </w:r>
            <w:r w:rsidR="000D2C84">
              <w:rPr>
                <w:sz w:val="20"/>
                <w:szCs w:val="20"/>
              </w:rPr>
              <w:t>44</w:t>
            </w:r>
          </w:p>
        </w:tc>
      </w:tr>
      <w:tr w:rsidR="0054555A" w:rsidRPr="007C4AC4" w14:paraId="01A82F81" w14:textId="77777777">
        <w:trPr>
          <w:jc w:val="center"/>
        </w:trPr>
        <w:tc>
          <w:tcPr>
            <w:tcW w:w="7951" w:type="dxa"/>
            <w:gridSpan w:val="2"/>
            <w:shd w:val="clear" w:color="auto" w:fill="E3E3E4" w:themeFill="background2" w:themeFillTint="33"/>
          </w:tcPr>
          <w:p w14:paraId="46B3A8E6" w14:textId="77777777" w:rsidR="0054555A" w:rsidRPr="003A7733" w:rsidRDefault="0054555A">
            <w:pPr>
              <w:keepNext/>
              <w:keepLines/>
              <w:rPr>
                <w:b/>
                <w:sz w:val="20"/>
                <w:szCs w:val="20"/>
              </w:rPr>
            </w:pPr>
            <w:r w:rsidRPr="003A7733">
              <w:rPr>
                <w:b/>
                <w:sz w:val="20"/>
                <w:szCs w:val="20"/>
              </w:rPr>
              <w:t>High occupancy trips</w:t>
            </w:r>
          </w:p>
        </w:tc>
        <w:tc>
          <w:tcPr>
            <w:tcW w:w="1687" w:type="dxa"/>
            <w:shd w:val="clear" w:color="auto" w:fill="E3E3E4" w:themeFill="background2" w:themeFillTint="33"/>
          </w:tcPr>
          <w:p w14:paraId="75636860" w14:textId="77777777" w:rsidR="0054555A" w:rsidRPr="003A7733" w:rsidRDefault="0054555A">
            <w:pPr>
              <w:keepNext/>
              <w:keepLines/>
              <w:spacing w:before="0"/>
              <w:jc w:val="center"/>
              <w:rPr>
                <w:b/>
                <w:sz w:val="20"/>
                <w:szCs w:val="20"/>
              </w:rPr>
            </w:pPr>
          </w:p>
        </w:tc>
      </w:tr>
      <w:tr w:rsidR="0054555A" w:rsidRPr="007C4AC4" w14:paraId="50BD0E3C" w14:textId="77777777">
        <w:trPr>
          <w:jc w:val="center"/>
        </w:trPr>
        <w:tc>
          <w:tcPr>
            <w:tcW w:w="7951" w:type="dxa"/>
            <w:gridSpan w:val="2"/>
            <w:shd w:val="clear" w:color="auto" w:fill="F2F2F2" w:themeFill="background1" w:themeFillShade="F2"/>
          </w:tcPr>
          <w:p w14:paraId="2C330875" w14:textId="77777777" w:rsidR="0054555A" w:rsidRPr="003A7733" w:rsidRDefault="0054555A">
            <w:pPr>
              <w:keepNext/>
              <w:keepLines/>
              <w:tabs>
                <w:tab w:val="left" w:pos="5124"/>
              </w:tabs>
              <w:spacing w:before="0" w:line="360" w:lineRule="auto"/>
              <w:rPr>
                <w:sz w:val="20"/>
                <w:szCs w:val="20"/>
              </w:rPr>
            </w:pPr>
            <w:bookmarkStart w:id="74" w:name="_Hlk105965157"/>
            <w:r w:rsidRPr="003A7733">
              <w:rPr>
                <w:sz w:val="20"/>
                <w:szCs w:val="20"/>
              </w:rPr>
              <w:t>For trips with 5 or more passengers</w:t>
            </w:r>
            <w:bookmarkEnd w:id="74"/>
            <w:r w:rsidRPr="003A7733">
              <w:rPr>
                <w:sz w:val="20"/>
                <w:szCs w:val="20"/>
              </w:rPr>
              <w:t>: not applicable if the commercial passenger vehicle does not have the capacity for carriage of 5 or more passengers in fixed seats. ‘Fixed seats’ does not include positions for the carriage of persons in wheelchairs.</w:t>
            </w:r>
          </w:p>
        </w:tc>
        <w:tc>
          <w:tcPr>
            <w:tcW w:w="1687" w:type="dxa"/>
            <w:shd w:val="clear" w:color="auto" w:fill="F2F2F2" w:themeFill="background1" w:themeFillShade="F2"/>
          </w:tcPr>
          <w:p w14:paraId="3CD84ADE" w14:textId="77777777" w:rsidR="0054555A" w:rsidRPr="003A7733" w:rsidRDefault="0054555A">
            <w:pPr>
              <w:keepNext/>
              <w:keepLines/>
              <w:spacing w:before="0" w:line="360" w:lineRule="auto"/>
              <w:jc w:val="center"/>
              <w:rPr>
                <w:sz w:val="20"/>
                <w:szCs w:val="20"/>
              </w:rPr>
            </w:pPr>
          </w:p>
        </w:tc>
      </w:tr>
      <w:tr w:rsidR="0054555A" w:rsidRPr="007C4AC4" w14:paraId="299D9845" w14:textId="77777777">
        <w:trPr>
          <w:jc w:val="center"/>
        </w:trPr>
        <w:tc>
          <w:tcPr>
            <w:tcW w:w="7951" w:type="dxa"/>
            <w:gridSpan w:val="2"/>
            <w:shd w:val="clear" w:color="auto" w:fill="F2F2F2" w:themeFill="background1" w:themeFillShade="F2"/>
          </w:tcPr>
          <w:p w14:paraId="7FD80562" w14:textId="77777777" w:rsidR="0054555A" w:rsidRPr="003A7733" w:rsidRDefault="0054555A">
            <w:pPr>
              <w:keepNext/>
              <w:keepLines/>
              <w:spacing w:before="0" w:line="360" w:lineRule="auto"/>
              <w:rPr>
                <w:sz w:val="20"/>
                <w:szCs w:val="20"/>
              </w:rPr>
            </w:pPr>
            <w:r w:rsidRPr="003A7733">
              <w:rPr>
                <w:sz w:val="20"/>
                <w:szCs w:val="20"/>
              </w:rPr>
              <w:t>Flagfall ($)</w:t>
            </w:r>
          </w:p>
        </w:tc>
        <w:tc>
          <w:tcPr>
            <w:tcW w:w="1687" w:type="dxa"/>
            <w:shd w:val="clear" w:color="auto" w:fill="F2F2F2" w:themeFill="background1" w:themeFillShade="F2"/>
          </w:tcPr>
          <w:p w14:paraId="1D538EE5" w14:textId="2A1DE891" w:rsidR="0054555A" w:rsidRPr="003A7733" w:rsidRDefault="0054555A">
            <w:pPr>
              <w:keepNext/>
              <w:keepLines/>
              <w:spacing w:before="0" w:line="360" w:lineRule="auto"/>
              <w:rPr>
                <w:sz w:val="20"/>
                <w:szCs w:val="20"/>
              </w:rPr>
            </w:pPr>
            <w:r w:rsidRPr="003A7733">
              <w:rPr>
                <w:sz w:val="20"/>
                <w:szCs w:val="20"/>
              </w:rPr>
              <w:t>$4.</w:t>
            </w:r>
            <w:r w:rsidR="000D2C84">
              <w:rPr>
                <w:sz w:val="20"/>
                <w:szCs w:val="20"/>
              </w:rPr>
              <w:t>15</w:t>
            </w:r>
          </w:p>
        </w:tc>
      </w:tr>
      <w:tr w:rsidR="0054555A" w:rsidRPr="007C4AC4" w14:paraId="5C7DD273" w14:textId="77777777">
        <w:trPr>
          <w:jc w:val="center"/>
        </w:trPr>
        <w:tc>
          <w:tcPr>
            <w:tcW w:w="7951" w:type="dxa"/>
            <w:gridSpan w:val="2"/>
            <w:shd w:val="clear" w:color="auto" w:fill="F2F2F2" w:themeFill="background1" w:themeFillShade="F2"/>
          </w:tcPr>
          <w:p w14:paraId="1DE767EF" w14:textId="77777777" w:rsidR="0054555A" w:rsidRPr="003A7733" w:rsidRDefault="0054555A">
            <w:pPr>
              <w:keepNext/>
              <w:keepLines/>
              <w:spacing w:before="0" w:line="360" w:lineRule="auto"/>
              <w:rPr>
                <w:sz w:val="20"/>
                <w:szCs w:val="20"/>
              </w:rPr>
            </w:pPr>
            <w:r w:rsidRPr="003A7733">
              <w:rPr>
                <w:sz w:val="20"/>
                <w:szCs w:val="20"/>
              </w:rPr>
              <w:t>Distance rate ($/km) (applies when speed is above 21 km/hr)</w:t>
            </w:r>
          </w:p>
        </w:tc>
        <w:tc>
          <w:tcPr>
            <w:tcW w:w="1687" w:type="dxa"/>
            <w:shd w:val="clear" w:color="auto" w:fill="F2F2F2" w:themeFill="background1" w:themeFillShade="F2"/>
          </w:tcPr>
          <w:p w14:paraId="518AFFA2" w14:textId="0A4F8FC8" w:rsidR="0054555A" w:rsidRPr="003A7733" w:rsidRDefault="0054555A">
            <w:pPr>
              <w:keepNext/>
              <w:keepLines/>
              <w:spacing w:before="0" w:line="360" w:lineRule="auto"/>
              <w:rPr>
                <w:sz w:val="20"/>
                <w:szCs w:val="20"/>
              </w:rPr>
            </w:pPr>
            <w:r w:rsidRPr="003A7733">
              <w:rPr>
                <w:sz w:val="20"/>
                <w:szCs w:val="20"/>
              </w:rPr>
              <w:t>$3.</w:t>
            </w:r>
            <w:r w:rsidR="000D2C84">
              <w:rPr>
                <w:sz w:val="20"/>
                <w:szCs w:val="20"/>
              </w:rPr>
              <w:t>22</w:t>
            </w:r>
            <w:r w:rsidRPr="003A7733">
              <w:rPr>
                <w:sz w:val="20"/>
                <w:szCs w:val="20"/>
              </w:rPr>
              <w:t>0</w:t>
            </w:r>
          </w:p>
        </w:tc>
      </w:tr>
      <w:tr w:rsidR="0054555A" w:rsidRPr="007C4AC4" w14:paraId="06210E02" w14:textId="77777777">
        <w:trPr>
          <w:jc w:val="center"/>
        </w:trPr>
        <w:tc>
          <w:tcPr>
            <w:tcW w:w="7951" w:type="dxa"/>
            <w:gridSpan w:val="2"/>
            <w:shd w:val="clear" w:color="auto" w:fill="F2F2F2" w:themeFill="background1" w:themeFillShade="F2"/>
          </w:tcPr>
          <w:p w14:paraId="61FF757E" w14:textId="35D0B0F2" w:rsidR="0054555A" w:rsidRPr="003A7733" w:rsidRDefault="00DD2DEB">
            <w:pPr>
              <w:keepNext/>
              <w:keepLines/>
              <w:spacing w:before="0" w:line="360" w:lineRule="auto"/>
              <w:rPr>
                <w:sz w:val="20"/>
                <w:szCs w:val="20"/>
              </w:rPr>
            </w:pPr>
            <w:r>
              <w:rPr>
                <w:sz w:val="20"/>
                <w:szCs w:val="20"/>
              </w:rPr>
              <w:t>Detention rate</w:t>
            </w:r>
            <w:r w:rsidR="0054555A" w:rsidRPr="003A7733">
              <w:rPr>
                <w:sz w:val="20"/>
                <w:szCs w:val="20"/>
              </w:rPr>
              <w:t xml:space="preserve"> ($/min) (applies when speed is below 21 km/hr)</w:t>
            </w:r>
          </w:p>
        </w:tc>
        <w:tc>
          <w:tcPr>
            <w:tcW w:w="1687" w:type="dxa"/>
            <w:shd w:val="clear" w:color="auto" w:fill="F2F2F2" w:themeFill="background1" w:themeFillShade="F2"/>
          </w:tcPr>
          <w:p w14:paraId="204B5C4F" w14:textId="3612B587" w:rsidR="0054555A" w:rsidRPr="003A7733" w:rsidRDefault="0054555A">
            <w:pPr>
              <w:keepNext/>
              <w:keepLines/>
              <w:spacing w:before="0" w:line="360" w:lineRule="auto"/>
              <w:rPr>
                <w:sz w:val="20"/>
                <w:szCs w:val="20"/>
              </w:rPr>
            </w:pPr>
            <w:r w:rsidRPr="003A7733">
              <w:rPr>
                <w:sz w:val="20"/>
                <w:szCs w:val="20"/>
              </w:rPr>
              <w:t>$1.</w:t>
            </w:r>
            <w:r w:rsidR="00F91651">
              <w:rPr>
                <w:sz w:val="20"/>
                <w:szCs w:val="20"/>
              </w:rPr>
              <w:t>127</w:t>
            </w:r>
          </w:p>
        </w:tc>
      </w:tr>
      <w:tr w:rsidR="0054555A" w:rsidRPr="007C4AC4" w14:paraId="5107D2F5" w14:textId="77777777">
        <w:trPr>
          <w:jc w:val="center"/>
        </w:trPr>
        <w:tc>
          <w:tcPr>
            <w:tcW w:w="7951" w:type="dxa"/>
            <w:gridSpan w:val="2"/>
            <w:shd w:val="clear" w:color="auto" w:fill="E3E3E4" w:themeFill="background2" w:themeFillTint="33"/>
          </w:tcPr>
          <w:p w14:paraId="3D2304E5" w14:textId="77777777" w:rsidR="0054555A" w:rsidRPr="003A7733" w:rsidRDefault="0054555A">
            <w:pPr>
              <w:keepNext/>
              <w:keepLines/>
              <w:rPr>
                <w:b/>
                <w:sz w:val="20"/>
                <w:szCs w:val="20"/>
              </w:rPr>
            </w:pPr>
            <w:r w:rsidRPr="003A7733">
              <w:rPr>
                <w:b/>
                <w:sz w:val="20"/>
                <w:szCs w:val="20"/>
              </w:rPr>
              <w:t xml:space="preserve">Other fare components </w:t>
            </w:r>
          </w:p>
        </w:tc>
        <w:tc>
          <w:tcPr>
            <w:tcW w:w="1687" w:type="dxa"/>
            <w:shd w:val="clear" w:color="auto" w:fill="E3E3E4" w:themeFill="background2" w:themeFillTint="33"/>
          </w:tcPr>
          <w:p w14:paraId="037F9871" w14:textId="77777777" w:rsidR="0054555A" w:rsidRPr="003A7733" w:rsidRDefault="0054555A">
            <w:pPr>
              <w:keepNext/>
              <w:keepLines/>
              <w:spacing w:before="0"/>
              <w:jc w:val="center"/>
              <w:rPr>
                <w:b/>
                <w:sz w:val="20"/>
                <w:szCs w:val="20"/>
              </w:rPr>
            </w:pPr>
          </w:p>
        </w:tc>
      </w:tr>
      <w:tr w:rsidR="0054555A" w:rsidRPr="007C4AC4" w14:paraId="0F950FB9" w14:textId="77777777">
        <w:trPr>
          <w:jc w:val="center"/>
        </w:trPr>
        <w:tc>
          <w:tcPr>
            <w:tcW w:w="3150" w:type="dxa"/>
            <w:shd w:val="clear" w:color="auto" w:fill="F2F2F2" w:themeFill="background1" w:themeFillShade="F2"/>
          </w:tcPr>
          <w:p w14:paraId="3434EBC7" w14:textId="77777777" w:rsidR="0054555A" w:rsidRPr="003A7733" w:rsidRDefault="0054555A">
            <w:pPr>
              <w:keepNext/>
              <w:keepLines/>
              <w:rPr>
                <w:sz w:val="20"/>
                <w:szCs w:val="20"/>
              </w:rPr>
            </w:pPr>
            <w:r w:rsidRPr="003A7733">
              <w:rPr>
                <w:sz w:val="20"/>
                <w:szCs w:val="20"/>
              </w:rPr>
              <w:t>Late night fee</w:t>
            </w:r>
          </w:p>
        </w:tc>
        <w:tc>
          <w:tcPr>
            <w:tcW w:w="4801" w:type="dxa"/>
            <w:shd w:val="clear" w:color="auto" w:fill="F2F2F2" w:themeFill="background1" w:themeFillShade="F2"/>
          </w:tcPr>
          <w:p w14:paraId="6D4604E9" w14:textId="77777777" w:rsidR="0054555A" w:rsidRPr="003A7733" w:rsidRDefault="0054555A">
            <w:pPr>
              <w:keepNext/>
              <w:keepLines/>
              <w:spacing w:line="240" w:lineRule="auto"/>
              <w:rPr>
                <w:sz w:val="20"/>
                <w:szCs w:val="20"/>
              </w:rPr>
            </w:pPr>
            <w:r w:rsidRPr="003A7733">
              <w:rPr>
                <w:sz w:val="20"/>
                <w:szCs w:val="20"/>
              </w:rPr>
              <w:t>For trips commencing between 7pm on Friday and Saturday nights through to 6am the following morning; and from midnight to 6am on all other days</w:t>
            </w:r>
          </w:p>
        </w:tc>
        <w:tc>
          <w:tcPr>
            <w:tcW w:w="1687" w:type="dxa"/>
            <w:shd w:val="clear" w:color="auto" w:fill="F2F2F2" w:themeFill="background1" w:themeFillShade="F2"/>
            <w:vAlign w:val="center"/>
          </w:tcPr>
          <w:p w14:paraId="323753C2" w14:textId="5DFB34C9" w:rsidR="0054555A" w:rsidRPr="003A7733" w:rsidRDefault="0054555A">
            <w:pPr>
              <w:keepNext/>
              <w:keepLines/>
              <w:rPr>
                <w:sz w:val="20"/>
                <w:szCs w:val="20"/>
              </w:rPr>
            </w:pPr>
            <w:r w:rsidRPr="003A7733">
              <w:rPr>
                <w:sz w:val="20"/>
                <w:szCs w:val="20"/>
              </w:rPr>
              <w:t>$3.</w:t>
            </w:r>
            <w:r w:rsidR="00F91651">
              <w:rPr>
                <w:sz w:val="20"/>
                <w:szCs w:val="20"/>
              </w:rPr>
              <w:t>95</w:t>
            </w:r>
          </w:p>
        </w:tc>
      </w:tr>
      <w:tr w:rsidR="0054555A" w:rsidRPr="007C4AC4" w14:paraId="4046491E" w14:textId="77777777">
        <w:trPr>
          <w:jc w:val="center"/>
        </w:trPr>
        <w:tc>
          <w:tcPr>
            <w:tcW w:w="3150" w:type="dxa"/>
            <w:shd w:val="clear" w:color="auto" w:fill="F2F2F2" w:themeFill="background1" w:themeFillShade="F2"/>
          </w:tcPr>
          <w:p w14:paraId="6488E24E" w14:textId="0944CB1E" w:rsidR="0054555A" w:rsidRPr="003A7733" w:rsidRDefault="0054555A">
            <w:pPr>
              <w:keepNext/>
              <w:keepLines/>
              <w:rPr>
                <w:sz w:val="20"/>
                <w:szCs w:val="20"/>
                <w:vertAlign w:val="superscript"/>
              </w:rPr>
            </w:pPr>
            <w:r w:rsidRPr="003A7733">
              <w:rPr>
                <w:sz w:val="20"/>
                <w:szCs w:val="20"/>
              </w:rPr>
              <w:t xml:space="preserve">Holiday rate </w:t>
            </w:r>
            <w:proofErr w:type="spellStart"/>
            <w:proofErr w:type="gramStart"/>
            <w:r w:rsidRPr="00037E5B">
              <w:rPr>
                <w:b/>
                <w:bCs/>
                <w:sz w:val="20"/>
                <w:szCs w:val="20"/>
                <w:vertAlign w:val="superscript"/>
              </w:rPr>
              <w:t>a</w:t>
            </w:r>
            <w:r w:rsidR="00037E5B" w:rsidRPr="00037E5B">
              <w:rPr>
                <w:b/>
                <w:bCs/>
                <w:sz w:val="20"/>
                <w:szCs w:val="20"/>
                <w:vertAlign w:val="superscript"/>
              </w:rPr>
              <w:t>,</w:t>
            </w:r>
            <w:r w:rsidRPr="00037E5B">
              <w:rPr>
                <w:b/>
                <w:bCs/>
                <w:sz w:val="20"/>
                <w:szCs w:val="20"/>
                <w:vertAlign w:val="superscript"/>
              </w:rPr>
              <w:t>b</w:t>
            </w:r>
            <w:proofErr w:type="spellEnd"/>
            <w:proofErr w:type="gramEnd"/>
          </w:p>
        </w:tc>
        <w:tc>
          <w:tcPr>
            <w:tcW w:w="4801" w:type="dxa"/>
            <w:shd w:val="clear" w:color="auto" w:fill="F2F2F2" w:themeFill="background1" w:themeFillShade="F2"/>
          </w:tcPr>
          <w:p w14:paraId="725EA9B8" w14:textId="77777777" w:rsidR="0054555A" w:rsidRPr="003A7733" w:rsidRDefault="0054555A">
            <w:pPr>
              <w:keepNext/>
              <w:keepLines/>
              <w:tabs>
                <w:tab w:val="left" w:pos="2880"/>
              </w:tabs>
              <w:rPr>
                <w:sz w:val="20"/>
                <w:szCs w:val="20"/>
              </w:rPr>
            </w:pPr>
          </w:p>
        </w:tc>
        <w:tc>
          <w:tcPr>
            <w:tcW w:w="1687" w:type="dxa"/>
            <w:shd w:val="clear" w:color="auto" w:fill="F2F2F2" w:themeFill="background1" w:themeFillShade="F2"/>
          </w:tcPr>
          <w:p w14:paraId="34A1DA73" w14:textId="6A9E540F" w:rsidR="0054555A" w:rsidRPr="003A7733" w:rsidRDefault="0054555A">
            <w:pPr>
              <w:keepNext/>
              <w:keepLines/>
              <w:rPr>
                <w:sz w:val="20"/>
                <w:szCs w:val="20"/>
              </w:rPr>
            </w:pPr>
            <w:r w:rsidRPr="003A7733">
              <w:rPr>
                <w:sz w:val="20"/>
                <w:szCs w:val="20"/>
              </w:rPr>
              <w:t>$4.</w:t>
            </w:r>
            <w:r w:rsidR="00F91651">
              <w:rPr>
                <w:sz w:val="20"/>
                <w:szCs w:val="20"/>
              </w:rPr>
              <w:t>8</w:t>
            </w:r>
            <w:r w:rsidRPr="003A7733">
              <w:rPr>
                <w:sz w:val="20"/>
                <w:szCs w:val="20"/>
              </w:rPr>
              <w:t>5</w:t>
            </w:r>
          </w:p>
        </w:tc>
      </w:tr>
      <w:tr w:rsidR="0054555A" w:rsidRPr="007C4AC4" w14:paraId="77D62C11" w14:textId="77777777">
        <w:trPr>
          <w:jc w:val="center"/>
        </w:trPr>
        <w:tc>
          <w:tcPr>
            <w:tcW w:w="3150" w:type="dxa"/>
            <w:shd w:val="clear" w:color="auto" w:fill="F2F2F2" w:themeFill="background1" w:themeFillShade="F2"/>
          </w:tcPr>
          <w:p w14:paraId="636FC77B" w14:textId="77777777" w:rsidR="0054555A" w:rsidRPr="007C4AC4" w:rsidRDefault="0054555A">
            <w:pPr>
              <w:keepNext/>
              <w:keepLines/>
              <w:rPr>
                <w:sz w:val="20"/>
                <w:szCs w:val="20"/>
              </w:rPr>
            </w:pPr>
            <w:r w:rsidRPr="007C4AC4">
              <w:rPr>
                <w:sz w:val="20"/>
                <w:szCs w:val="20"/>
              </w:rPr>
              <w:t>CPV levy recovery fee</w:t>
            </w:r>
          </w:p>
        </w:tc>
        <w:tc>
          <w:tcPr>
            <w:tcW w:w="4801" w:type="dxa"/>
            <w:shd w:val="clear" w:color="auto" w:fill="F2F2F2" w:themeFill="background1" w:themeFillShade="F2"/>
          </w:tcPr>
          <w:p w14:paraId="5244B3BE" w14:textId="77777777" w:rsidR="0054555A" w:rsidRPr="007C4AC4" w:rsidRDefault="0054555A">
            <w:pPr>
              <w:keepNext/>
              <w:keepLines/>
              <w:tabs>
                <w:tab w:val="left" w:pos="2880"/>
              </w:tabs>
              <w:rPr>
                <w:sz w:val="20"/>
                <w:szCs w:val="20"/>
              </w:rPr>
            </w:pPr>
          </w:p>
        </w:tc>
        <w:tc>
          <w:tcPr>
            <w:tcW w:w="1687" w:type="dxa"/>
            <w:shd w:val="clear" w:color="auto" w:fill="F2F2F2" w:themeFill="background1" w:themeFillShade="F2"/>
          </w:tcPr>
          <w:p w14:paraId="30B055BE" w14:textId="77777777" w:rsidR="0054555A" w:rsidRPr="007C4AC4" w:rsidRDefault="0054555A">
            <w:pPr>
              <w:keepNext/>
              <w:keepLines/>
              <w:rPr>
                <w:sz w:val="20"/>
                <w:szCs w:val="20"/>
              </w:rPr>
            </w:pPr>
            <w:r w:rsidRPr="007C4AC4">
              <w:rPr>
                <w:sz w:val="20"/>
                <w:szCs w:val="20"/>
              </w:rPr>
              <w:t>Pass-through</w:t>
            </w:r>
          </w:p>
        </w:tc>
      </w:tr>
      <w:tr w:rsidR="0054555A" w:rsidRPr="007C4AC4" w14:paraId="726AC666" w14:textId="77777777">
        <w:trPr>
          <w:jc w:val="center"/>
        </w:trPr>
        <w:tc>
          <w:tcPr>
            <w:tcW w:w="3150" w:type="dxa"/>
            <w:shd w:val="clear" w:color="auto" w:fill="F2F2F2" w:themeFill="background1" w:themeFillShade="F2"/>
          </w:tcPr>
          <w:p w14:paraId="6E658468" w14:textId="054C6EAB" w:rsidR="0054555A" w:rsidRPr="007C4AC4" w:rsidRDefault="0054555A">
            <w:pPr>
              <w:keepNext/>
              <w:keepLines/>
              <w:rPr>
                <w:sz w:val="20"/>
                <w:szCs w:val="20"/>
              </w:rPr>
            </w:pPr>
            <w:r w:rsidRPr="007C4AC4">
              <w:rPr>
                <w:sz w:val="20"/>
                <w:szCs w:val="20"/>
              </w:rPr>
              <w:t xml:space="preserve">CityLink and EastLink tolls </w:t>
            </w:r>
            <w:r w:rsidRPr="00037E5B">
              <w:rPr>
                <w:b/>
                <w:bCs/>
                <w:sz w:val="20"/>
                <w:szCs w:val="20"/>
                <w:vertAlign w:val="superscript"/>
              </w:rPr>
              <w:t>c</w:t>
            </w:r>
          </w:p>
        </w:tc>
        <w:tc>
          <w:tcPr>
            <w:tcW w:w="4801" w:type="dxa"/>
            <w:shd w:val="clear" w:color="auto" w:fill="F2F2F2" w:themeFill="background1" w:themeFillShade="F2"/>
          </w:tcPr>
          <w:p w14:paraId="479569EA" w14:textId="77777777" w:rsidR="0054555A" w:rsidRPr="007C4AC4" w:rsidRDefault="0054555A">
            <w:pPr>
              <w:keepNext/>
              <w:keepLines/>
              <w:tabs>
                <w:tab w:val="left" w:pos="2880"/>
              </w:tabs>
              <w:rPr>
                <w:sz w:val="20"/>
                <w:szCs w:val="20"/>
              </w:rPr>
            </w:pPr>
          </w:p>
        </w:tc>
        <w:tc>
          <w:tcPr>
            <w:tcW w:w="1687" w:type="dxa"/>
            <w:shd w:val="clear" w:color="auto" w:fill="F2F2F2" w:themeFill="background1" w:themeFillShade="F2"/>
          </w:tcPr>
          <w:p w14:paraId="4A0D11A5" w14:textId="77777777" w:rsidR="0054555A" w:rsidRPr="007C4AC4" w:rsidRDefault="0054555A">
            <w:pPr>
              <w:keepNext/>
              <w:keepLines/>
              <w:rPr>
                <w:sz w:val="20"/>
                <w:szCs w:val="20"/>
              </w:rPr>
            </w:pPr>
            <w:r w:rsidRPr="007C4AC4">
              <w:rPr>
                <w:sz w:val="20"/>
                <w:szCs w:val="20"/>
              </w:rPr>
              <w:t>Pass-through</w:t>
            </w:r>
          </w:p>
        </w:tc>
      </w:tr>
      <w:tr w:rsidR="0054555A" w:rsidRPr="007C4AC4" w14:paraId="1971AC8C" w14:textId="77777777">
        <w:trPr>
          <w:jc w:val="center"/>
        </w:trPr>
        <w:tc>
          <w:tcPr>
            <w:tcW w:w="3150" w:type="dxa"/>
            <w:shd w:val="clear" w:color="auto" w:fill="F2F2F2" w:themeFill="background1" w:themeFillShade="F2"/>
          </w:tcPr>
          <w:p w14:paraId="054A20A2" w14:textId="525AB014" w:rsidR="0054555A" w:rsidRPr="007C4AC4" w:rsidRDefault="0054555A">
            <w:pPr>
              <w:keepNext/>
              <w:keepLines/>
              <w:rPr>
                <w:sz w:val="20"/>
                <w:szCs w:val="20"/>
              </w:rPr>
            </w:pPr>
            <w:r w:rsidRPr="007C4AC4">
              <w:rPr>
                <w:sz w:val="20"/>
                <w:szCs w:val="20"/>
              </w:rPr>
              <w:t xml:space="preserve">Airport </w:t>
            </w:r>
            <w:r>
              <w:rPr>
                <w:sz w:val="20"/>
                <w:szCs w:val="20"/>
              </w:rPr>
              <w:t xml:space="preserve">taxi </w:t>
            </w:r>
            <w:r w:rsidRPr="007C4AC4">
              <w:rPr>
                <w:sz w:val="20"/>
                <w:szCs w:val="20"/>
              </w:rPr>
              <w:t xml:space="preserve">rank fee </w:t>
            </w:r>
            <w:r w:rsidRPr="00037E5B">
              <w:rPr>
                <w:b/>
                <w:sz w:val="20"/>
                <w:szCs w:val="20"/>
                <w:vertAlign w:val="superscript"/>
              </w:rPr>
              <w:t>d</w:t>
            </w:r>
          </w:p>
        </w:tc>
        <w:tc>
          <w:tcPr>
            <w:tcW w:w="4801" w:type="dxa"/>
            <w:shd w:val="clear" w:color="auto" w:fill="F2F2F2" w:themeFill="background1" w:themeFillShade="F2"/>
          </w:tcPr>
          <w:p w14:paraId="07D297C9" w14:textId="77777777" w:rsidR="0054555A" w:rsidRPr="007C4AC4" w:rsidRDefault="0054555A">
            <w:pPr>
              <w:keepNext/>
              <w:keepLines/>
              <w:tabs>
                <w:tab w:val="left" w:pos="2880"/>
              </w:tabs>
              <w:rPr>
                <w:sz w:val="20"/>
                <w:szCs w:val="20"/>
              </w:rPr>
            </w:pPr>
            <w:r w:rsidRPr="007C4AC4">
              <w:rPr>
                <w:sz w:val="20"/>
                <w:szCs w:val="20"/>
              </w:rPr>
              <w:t>For trips from the airport rank</w:t>
            </w:r>
          </w:p>
        </w:tc>
        <w:tc>
          <w:tcPr>
            <w:tcW w:w="1687" w:type="dxa"/>
            <w:shd w:val="clear" w:color="auto" w:fill="F2F2F2" w:themeFill="background1" w:themeFillShade="F2"/>
          </w:tcPr>
          <w:p w14:paraId="35159E96" w14:textId="77777777" w:rsidR="0054555A" w:rsidRPr="007C4AC4" w:rsidRDefault="0054555A">
            <w:pPr>
              <w:keepNext/>
              <w:keepLines/>
              <w:rPr>
                <w:sz w:val="20"/>
                <w:szCs w:val="20"/>
              </w:rPr>
            </w:pPr>
            <w:r w:rsidRPr="007C4AC4">
              <w:rPr>
                <w:sz w:val="20"/>
                <w:szCs w:val="20"/>
              </w:rPr>
              <w:t>Pass-through</w:t>
            </w:r>
          </w:p>
        </w:tc>
      </w:tr>
      <w:tr w:rsidR="0054555A" w:rsidRPr="007C4AC4" w14:paraId="602DA1F3" w14:textId="77777777">
        <w:trPr>
          <w:jc w:val="center"/>
        </w:trPr>
        <w:tc>
          <w:tcPr>
            <w:tcW w:w="3150" w:type="dxa"/>
            <w:shd w:val="clear" w:color="auto" w:fill="F2F2F2" w:themeFill="background1" w:themeFillShade="F2"/>
          </w:tcPr>
          <w:p w14:paraId="38F53859" w14:textId="77777777" w:rsidR="0054555A" w:rsidRPr="007C4AC4" w:rsidRDefault="0054555A">
            <w:pPr>
              <w:keepNext/>
              <w:keepLines/>
              <w:rPr>
                <w:sz w:val="20"/>
                <w:szCs w:val="20"/>
              </w:rPr>
            </w:pPr>
            <w:r w:rsidRPr="007C4AC4">
              <w:rPr>
                <w:sz w:val="20"/>
                <w:szCs w:val="20"/>
              </w:rPr>
              <w:t>Cleaning fee</w:t>
            </w:r>
          </w:p>
        </w:tc>
        <w:tc>
          <w:tcPr>
            <w:tcW w:w="6488" w:type="dxa"/>
            <w:gridSpan w:val="2"/>
            <w:shd w:val="clear" w:color="auto" w:fill="F2F2F2" w:themeFill="background1" w:themeFillShade="F2"/>
          </w:tcPr>
          <w:p w14:paraId="327F7EBB" w14:textId="77777777" w:rsidR="0054555A" w:rsidRPr="007C4AC4" w:rsidRDefault="0054555A">
            <w:pPr>
              <w:keepNext/>
              <w:keepLines/>
              <w:jc w:val="right"/>
              <w:rPr>
                <w:sz w:val="20"/>
                <w:szCs w:val="20"/>
              </w:rPr>
            </w:pPr>
            <w:r w:rsidRPr="007C4AC4">
              <w:rPr>
                <w:sz w:val="20"/>
                <w:szCs w:val="20"/>
              </w:rPr>
              <w:t>Up to a maximum of $120</w:t>
            </w:r>
          </w:p>
        </w:tc>
      </w:tr>
    </w:tbl>
    <w:p w14:paraId="5D006787" w14:textId="311EDF6A" w:rsidR="0054555A" w:rsidRPr="007C4AC4" w:rsidRDefault="0054555A" w:rsidP="00A60BE4">
      <w:pPr>
        <w:keepNext/>
        <w:keepLines/>
        <w:spacing w:before="0" w:after="0" w:line="240" w:lineRule="auto"/>
        <w:jc w:val="both"/>
        <w:rPr>
          <w:rFonts w:ascii="Arial" w:eastAsia="Arial" w:hAnsi="Arial" w:cs="Arial"/>
          <w:iCs/>
          <w:color w:val="4986A0"/>
          <w:sz w:val="18"/>
          <w:szCs w:val="18"/>
        </w:rPr>
      </w:pPr>
      <w:proofErr w:type="spellStart"/>
      <w:r w:rsidRPr="00037E5B">
        <w:rPr>
          <w:rFonts w:ascii="Arial" w:eastAsia="Arial" w:hAnsi="Arial" w:cs="Arial"/>
          <w:iCs/>
          <w:color w:val="4986A0"/>
          <w:sz w:val="18"/>
          <w:szCs w:val="18"/>
          <w:vertAlign w:val="superscript"/>
        </w:rPr>
        <w:t>a</w:t>
      </w:r>
      <w:proofErr w:type="spellEnd"/>
      <w:r w:rsidRPr="007C4AC4">
        <w:rPr>
          <w:rFonts w:ascii="Arial" w:eastAsia="Arial" w:hAnsi="Arial" w:cs="Arial"/>
          <w:iCs/>
          <w:color w:val="4986A0"/>
          <w:sz w:val="18"/>
          <w:szCs w:val="18"/>
        </w:rPr>
        <w:t xml:space="preserve"> </w:t>
      </w:r>
      <w:proofErr w:type="gramStart"/>
      <w:r w:rsidRPr="007C4AC4">
        <w:rPr>
          <w:rFonts w:ascii="Arial" w:eastAsia="Arial" w:hAnsi="Arial" w:cs="Arial"/>
          <w:iCs/>
          <w:color w:val="4986A0"/>
          <w:sz w:val="18"/>
          <w:szCs w:val="18"/>
        </w:rPr>
        <w:t>For</w:t>
      </w:r>
      <w:proofErr w:type="gramEnd"/>
      <w:r w:rsidRPr="007C4AC4">
        <w:rPr>
          <w:rFonts w:ascii="Arial" w:eastAsia="Arial" w:hAnsi="Arial" w:cs="Arial"/>
          <w:iCs/>
          <w:color w:val="4986A0"/>
          <w:sz w:val="18"/>
          <w:szCs w:val="18"/>
        </w:rPr>
        <w:t xml:space="preserve"> trips commencing between 7pm </w:t>
      </w:r>
      <w:r w:rsidRPr="007C4AC4">
        <w:rPr>
          <w:rFonts w:ascii="Arial" w:eastAsia="Arial" w:hAnsi="Arial" w:cs="Arial"/>
          <w:iCs/>
          <w:color w:val="4986A0"/>
          <w:sz w:val="18"/>
          <w:szCs w:val="18"/>
          <w:u w:val="single"/>
        </w:rPr>
        <w:t>on evenings prior</w:t>
      </w:r>
      <w:r w:rsidRPr="007C4AC4">
        <w:rPr>
          <w:rFonts w:ascii="Arial" w:eastAsia="Arial" w:hAnsi="Arial" w:cs="Arial"/>
          <w:iCs/>
          <w:color w:val="4986A0"/>
          <w:sz w:val="18"/>
          <w:szCs w:val="18"/>
        </w:rPr>
        <w:t xml:space="preserve"> to all public holidays, through to 6am the following mornings and trips commencing on Christmas Day, Boxing Day, New Year’s Day and from 6pm on New Year’s Eve. </w:t>
      </w:r>
      <w:r w:rsidRPr="00037E5B">
        <w:rPr>
          <w:rFonts w:ascii="Arial" w:eastAsia="Arial" w:hAnsi="Arial" w:cs="Arial"/>
          <w:iCs/>
          <w:color w:val="4986A0"/>
          <w:sz w:val="18"/>
          <w:szCs w:val="18"/>
          <w:vertAlign w:val="superscript"/>
        </w:rPr>
        <w:t>b</w:t>
      </w:r>
      <w:r w:rsidR="00A60BE4">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The</w:t>
      </w:r>
      <w:proofErr w:type="gramEnd"/>
      <w:r w:rsidRPr="007C4AC4">
        <w:rPr>
          <w:rFonts w:ascii="Arial" w:eastAsia="Arial" w:hAnsi="Arial" w:cs="Arial"/>
          <w:iCs/>
          <w:color w:val="4986A0"/>
          <w:sz w:val="18"/>
          <w:szCs w:val="18"/>
        </w:rPr>
        <w:t xml:space="preserve"> ‘late night fee’ does not apply during times that the holiday rate applies.</w:t>
      </w:r>
      <w:r w:rsidR="00A60BE4">
        <w:rPr>
          <w:rFonts w:ascii="Arial" w:eastAsia="Arial" w:hAnsi="Arial" w:cs="Arial"/>
          <w:iCs/>
          <w:color w:val="4986A0"/>
          <w:sz w:val="18"/>
          <w:szCs w:val="18"/>
        </w:rPr>
        <w:t xml:space="preserve"> </w:t>
      </w:r>
      <w:r w:rsidRPr="00A60BE4">
        <w:rPr>
          <w:rFonts w:ascii="Arial" w:eastAsia="Arial" w:hAnsi="Arial" w:cs="Arial"/>
          <w:iCs/>
          <w:color w:val="4986A0"/>
          <w:sz w:val="18"/>
          <w:szCs w:val="18"/>
          <w:vertAlign w:val="superscript"/>
        </w:rPr>
        <w:t>c</w:t>
      </w:r>
      <w:r w:rsidR="00A60BE4">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As</w:t>
      </w:r>
      <w:proofErr w:type="gramEnd"/>
      <w:r w:rsidRPr="007C4AC4">
        <w:rPr>
          <w:rFonts w:ascii="Arial" w:eastAsia="Arial" w:hAnsi="Arial" w:cs="Arial"/>
          <w:iCs/>
          <w:color w:val="4986A0"/>
          <w:sz w:val="18"/>
          <w:szCs w:val="18"/>
        </w:rPr>
        <w:t xml:space="preserve"> published from time to time in the </w:t>
      </w:r>
      <w:r w:rsidRPr="0046094C">
        <w:rPr>
          <w:rFonts w:ascii="Arial" w:eastAsia="Arial" w:hAnsi="Arial" w:cs="Arial"/>
          <w:i/>
          <w:color w:val="4986A0"/>
          <w:sz w:val="18"/>
          <w:szCs w:val="18"/>
        </w:rPr>
        <w:t>Victorian Government Gazette</w:t>
      </w:r>
      <w:r w:rsidRPr="007C4AC4">
        <w:rPr>
          <w:rFonts w:ascii="Arial" w:eastAsia="Arial" w:hAnsi="Arial" w:cs="Arial"/>
          <w:iCs/>
          <w:color w:val="4986A0"/>
          <w:sz w:val="18"/>
          <w:szCs w:val="18"/>
        </w:rPr>
        <w:t xml:space="preserve"> in accordance with the </w:t>
      </w:r>
      <w:r w:rsidRPr="0046094C">
        <w:rPr>
          <w:rFonts w:ascii="Arial" w:eastAsia="Arial" w:hAnsi="Arial" w:cs="Arial"/>
          <w:i/>
          <w:color w:val="4986A0"/>
          <w:sz w:val="18"/>
          <w:szCs w:val="18"/>
        </w:rPr>
        <w:t>Melbourne City Link Act 1995</w:t>
      </w:r>
      <w:r w:rsidRPr="007C4AC4">
        <w:rPr>
          <w:rFonts w:ascii="Arial" w:eastAsia="Arial" w:hAnsi="Arial" w:cs="Arial"/>
          <w:iCs/>
          <w:color w:val="4986A0"/>
          <w:sz w:val="18"/>
          <w:szCs w:val="18"/>
        </w:rPr>
        <w:t xml:space="preserve"> or the </w:t>
      </w:r>
      <w:r w:rsidRPr="0046094C">
        <w:rPr>
          <w:rFonts w:ascii="Arial" w:eastAsia="Arial" w:hAnsi="Arial" w:cs="Arial"/>
          <w:i/>
          <w:color w:val="4986A0"/>
          <w:sz w:val="18"/>
          <w:szCs w:val="18"/>
        </w:rPr>
        <w:t>EastLink Project Act 2004</w:t>
      </w:r>
      <w:r w:rsidRPr="007C4AC4">
        <w:rPr>
          <w:rFonts w:ascii="Arial" w:eastAsia="Arial" w:hAnsi="Arial" w:cs="Arial"/>
          <w:iCs/>
          <w:color w:val="4986A0"/>
          <w:sz w:val="18"/>
          <w:szCs w:val="18"/>
        </w:rPr>
        <w:t xml:space="preserve"> as applicable.</w:t>
      </w:r>
      <w:r w:rsidR="00A60BE4">
        <w:rPr>
          <w:rFonts w:ascii="Arial" w:eastAsia="Arial" w:hAnsi="Arial" w:cs="Arial"/>
          <w:iCs/>
          <w:color w:val="4986A0"/>
          <w:sz w:val="18"/>
          <w:szCs w:val="18"/>
        </w:rPr>
        <w:t xml:space="preserve"> </w:t>
      </w:r>
      <w:r w:rsidR="00A60BE4" w:rsidRPr="00A60BE4">
        <w:rPr>
          <w:rFonts w:ascii="Arial" w:eastAsia="Arial" w:hAnsi="Arial" w:cs="Arial"/>
          <w:iCs/>
          <w:color w:val="4986A0"/>
          <w:sz w:val="18"/>
          <w:szCs w:val="18"/>
          <w:vertAlign w:val="superscript"/>
        </w:rPr>
        <w:t>d</w:t>
      </w:r>
      <w:r w:rsidR="00A60BE4">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As</w:t>
      </w:r>
      <w:proofErr w:type="gramEnd"/>
      <w:r w:rsidRPr="007C4AC4">
        <w:rPr>
          <w:rFonts w:ascii="Arial" w:eastAsia="Arial" w:hAnsi="Arial" w:cs="Arial"/>
          <w:iCs/>
          <w:color w:val="4986A0"/>
          <w:sz w:val="18"/>
          <w:szCs w:val="18"/>
        </w:rPr>
        <w:t xml:space="preserve"> published by that airport in a daily newspaper generally circulating in Victoria and on that airport’s website. </w:t>
      </w:r>
    </w:p>
    <w:p w14:paraId="73908114" w14:textId="77777777" w:rsidR="0054555A" w:rsidRPr="007C4AC4" w:rsidRDefault="0054555A" w:rsidP="0054555A">
      <w:pPr>
        <w:spacing w:before="0" w:line="259" w:lineRule="auto"/>
        <w:rPr>
          <w:rFonts w:ascii="Arial" w:eastAsia="SimHei" w:hAnsi="Arial" w:cs="Arial"/>
          <w:b/>
          <w:color w:val="4986A0"/>
          <w:szCs w:val="24"/>
        </w:rPr>
      </w:pPr>
    </w:p>
    <w:p w14:paraId="09B4D0B5" w14:textId="6856E1C1" w:rsidR="0054555A" w:rsidRPr="007C4AC4" w:rsidRDefault="0054555A" w:rsidP="0054555A">
      <w:pPr>
        <w:keepNext/>
        <w:keepLines/>
        <w:spacing w:before="0" w:line="259" w:lineRule="auto"/>
        <w:rPr>
          <w:rFonts w:ascii="Arial" w:eastAsia="SimHei" w:hAnsi="Arial" w:cs="Arial"/>
          <w:b/>
          <w:color w:val="4986A0"/>
          <w:szCs w:val="24"/>
        </w:rPr>
      </w:pPr>
      <w:r w:rsidRPr="007C4AC4">
        <w:rPr>
          <w:rFonts w:ascii="Arial" w:eastAsia="SimHei" w:hAnsi="Arial" w:cs="Arial"/>
          <w:b/>
          <w:color w:val="4986A0"/>
          <w:szCs w:val="24"/>
        </w:rPr>
        <w:lastRenderedPageBreak/>
        <w:t xml:space="preserve">Table </w:t>
      </w:r>
      <w:r w:rsidR="00CD0D89">
        <w:rPr>
          <w:rFonts w:ascii="Arial" w:eastAsia="SimHei" w:hAnsi="Arial" w:cs="Arial"/>
          <w:b/>
          <w:color w:val="4986A0"/>
          <w:szCs w:val="24"/>
        </w:rPr>
        <w:t>B</w:t>
      </w:r>
      <w:r w:rsidRPr="007C4AC4">
        <w:rPr>
          <w:rFonts w:ascii="Arial" w:eastAsia="SimHei" w:hAnsi="Arial" w:cs="Arial"/>
          <w:b/>
          <w:color w:val="4986A0"/>
          <w:szCs w:val="24"/>
        </w:rPr>
        <w:t xml:space="preserve">.4: </w:t>
      </w:r>
      <w:r>
        <w:rPr>
          <w:rFonts w:ascii="Arial" w:eastAsia="SimHei" w:hAnsi="Arial" w:cs="Arial"/>
          <w:b/>
          <w:color w:val="4986A0"/>
          <w:szCs w:val="24"/>
        </w:rPr>
        <w:t>M</w:t>
      </w:r>
      <w:r w:rsidRPr="007C4AC4">
        <w:rPr>
          <w:rFonts w:ascii="Arial" w:eastAsia="SimHei" w:hAnsi="Arial" w:cs="Arial"/>
          <w:b/>
          <w:color w:val="4986A0"/>
          <w:szCs w:val="24"/>
        </w:rPr>
        <w:t xml:space="preserve">aximum fares for unbooked </w:t>
      </w:r>
      <w:r>
        <w:rPr>
          <w:rFonts w:ascii="Arial" w:eastAsia="SimHei" w:hAnsi="Arial" w:cs="Arial"/>
          <w:b/>
          <w:color w:val="4986A0"/>
          <w:szCs w:val="24"/>
        </w:rPr>
        <w:t>taxi</w:t>
      </w:r>
      <w:r w:rsidRPr="007C4AC4">
        <w:rPr>
          <w:rFonts w:ascii="Arial" w:eastAsia="SimHei" w:hAnsi="Arial" w:cs="Arial"/>
          <w:b/>
          <w:color w:val="4986A0"/>
          <w:szCs w:val="24"/>
        </w:rPr>
        <w:t xml:space="preserve"> services that begin in the</w:t>
      </w:r>
      <w:r>
        <w:rPr>
          <w:rFonts w:ascii="Arial" w:eastAsia="SimHei" w:hAnsi="Arial" w:cs="Arial"/>
          <w:b/>
          <w:color w:val="4986A0"/>
          <w:szCs w:val="24"/>
        </w:rPr>
        <w:t xml:space="preserve"> large regional area of the Urban and </w:t>
      </w:r>
      <w:r w:rsidRPr="007C4AC4">
        <w:rPr>
          <w:rFonts w:ascii="Arial" w:eastAsia="SimHei" w:hAnsi="Arial" w:cs="Arial"/>
          <w:b/>
          <w:color w:val="4986A0"/>
          <w:szCs w:val="24"/>
        </w:rPr>
        <w:t xml:space="preserve">Large Regional </w:t>
      </w:r>
      <w:r>
        <w:rPr>
          <w:rFonts w:ascii="Arial" w:eastAsia="SimHei" w:hAnsi="Arial" w:cs="Arial"/>
          <w:b/>
          <w:color w:val="4986A0"/>
          <w:szCs w:val="24"/>
        </w:rPr>
        <w:t xml:space="preserve">Zone, </w:t>
      </w:r>
      <w:r w:rsidRPr="007C4AC4">
        <w:rPr>
          <w:rFonts w:ascii="Arial" w:eastAsia="SimHei" w:hAnsi="Arial" w:cs="Arial"/>
          <w:b/>
          <w:color w:val="4986A0"/>
          <w:szCs w:val="24"/>
        </w:rPr>
        <w:t>including Geelong, Ballarat and Bendigo</w:t>
      </w:r>
      <w:r>
        <w:rPr>
          <w:rFonts w:ascii="Arial" w:eastAsia="SimHei" w:hAnsi="Arial" w:cs="Arial"/>
          <w:b/>
          <w:color w:val="4986A0"/>
          <w:szCs w:val="24"/>
        </w:rPr>
        <w:t xml:space="preserve"> – </w:t>
      </w:r>
      <w:r w:rsidRPr="007C4AC4">
        <w:rPr>
          <w:rFonts w:ascii="Arial" w:eastAsia="SimHei" w:hAnsi="Arial" w:cs="Arial"/>
          <w:b/>
          <w:color w:val="4986A0"/>
          <w:szCs w:val="24"/>
        </w:rPr>
        <w:t xml:space="preserve">‘time </w:t>
      </w:r>
      <w:r w:rsidRPr="007C4AC4">
        <w:rPr>
          <w:rFonts w:ascii="Arial" w:eastAsia="SimHei" w:hAnsi="Arial" w:cs="Arial"/>
          <w:b/>
          <w:color w:val="4986A0"/>
          <w:szCs w:val="24"/>
          <w:u w:val="single"/>
        </w:rPr>
        <w:t>and</w:t>
      </w:r>
      <w:r w:rsidRPr="007C4AC4">
        <w:rPr>
          <w:rFonts w:ascii="Arial" w:eastAsia="SimHei" w:hAnsi="Arial" w:cs="Arial"/>
          <w:b/>
          <w:color w:val="4986A0"/>
          <w:szCs w:val="24"/>
        </w:rPr>
        <w:t xml:space="preserve"> distance’ </w:t>
      </w:r>
      <w:proofErr w:type="gramStart"/>
      <w:r w:rsidRPr="007C4AC4">
        <w:rPr>
          <w:rFonts w:ascii="Arial" w:eastAsia="SimHei" w:hAnsi="Arial" w:cs="Arial"/>
          <w:b/>
          <w:color w:val="4986A0"/>
          <w:szCs w:val="24"/>
        </w:rPr>
        <w:t>tariffs</w:t>
      </w:r>
      <w:proofErr w:type="gramEnd"/>
    </w:p>
    <w:tbl>
      <w:tblPr>
        <w:tblStyle w:val="TwoColumnImage"/>
        <w:tblW w:w="0" w:type="auto"/>
        <w:tblLook w:val="04A0" w:firstRow="1" w:lastRow="0" w:firstColumn="1" w:lastColumn="0" w:noHBand="0" w:noVBand="1"/>
      </w:tblPr>
      <w:tblGrid>
        <w:gridCol w:w="3210"/>
        <w:gridCol w:w="4741"/>
        <w:gridCol w:w="1687"/>
      </w:tblGrid>
      <w:tr w:rsidR="0054555A" w:rsidRPr="007C4AC4" w14:paraId="009AEE0C" w14:textId="77777777">
        <w:tc>
          <w:tcPr>
            <w:tcW w:w="7951" w:type="dxa"/>
            <w:gridSpan w:val="2"/>
            <w:shd w:val="clear" w:color="auto" w:fill="4986A0" w:themeFill="text2"/>
          </w:tcPr>
          <w:p w14:paraId="78B76DB7" w14:textId="77777777" w:rsidR="0054555A" w:rsidRPr="007C4AC4" w:rsidRDefault="0054555A">
            <w:pPr>
              <w:keepNext/>
              <w:keepLines/>
              <w:rPr>
                <w:b/>
                <w:color w:val="FFFFFF" w:themeColor="background1"/>
                <w:sz w:val="20"/>
                <w:szCs w:val="20"/>
              </w:rPr>
            </w:pPr>
            <w:r w:rsidRPr="007C4AC4">
              <w:rPr>
                <w:b/>
                <w:color w:val="FFFFFF" w:themeColor="background1"/>
                <w:sz w:val="20"/>
                <w:szCs w:val="20"/>
              </w:rPr>
              <w:t>Fare component</w:t>
            </w:r>
          </w:p>
        </w:tc>
        <w:tc>
          <w:tcPr>
            <w:tcW w:w="1687" w:type="dxa"/>
            <w:shd w:val="clear" w:color="auto" w:fill="4986A0" w:themeFill="text2"/>
          </w:tcPr>
          <w:p w14:paraId="2FF90E00" w14:textId="77777777" w:rsidR="0054555A" w:rsidRPr="007C4AC4" w:rsidRDefault="0054555A">
            <w:pPr>
              <w:keepNext/>
              <w:keepLines/>
              <w:rPr>
                <w:b/>
                <w:color w:val="FFFFFF" w:themeColor="background1"/>
                <w:sz w:val="20"/>
                <w:szCs w:val="20"/>
              </w:rPr>
            </w:pPr>
            <w:r w:rsidRPr="007C4AC4">
              <w:rPr>
                <w:b/>
                <w:color w:val="FFFFFF" w:themeColor="background1"/>
                <w:sz w:val="20"/>
                <w:szCs w:val="20"/>
              </w:rPr>
              <w:t>Maximum charge</w:t>
            </w:r>
          </w:p>
        </w:tc>
      </w:tr>
      <w:tr w:rsidR="0054555A" w:rsidRPr="007C4AC4" w14:paraId="57A16965" w14:textId="77777777">
        <w:tc>
          <w:tcPr>
            <w:tcW w:w="7951" w:type="dxa"/>
            <w:gridSpan w:val="2"/>
            <w:shd w:val="clear" w:color="auto" w:fill="E3E3E4" w:themeFill="background2" w:themeFillTint="33"/>
          </w:tcPr>
          <w:p w14:paraId="52AADFE1" w14:textId="77777777" w:rsidR="0054555A" w:rsidRPr="007C4AC4" w:rsidRDefault="0054555A">
            <w:pPr>
              <w:keepNext/>
              <w:keepLines/>
              <w:rPr>
                <w:b/>
                <w:sz w:val="20"/>
                <w:szCs w:val="20"/>
              </w:rPr>
            </w:pPr>
            <w:r w:rsidRPr="007C4AC4">
              <w:rPr>
                <w:b/>
                <w:sz w:val="20"/>
                <w:szCs w:val="20"/>
              </w:rPr>
              <w:t>Standard fare components</w:t>
            </w:r>
          </w:p>
        </w:tc>
        <w:tc>
          <w:tcPr>
            <w:tcW w:w="1687" w:type="dxa"/>
            <w:shd w:val="clear" w:color="auto" w:fill="E3E3E4" w:themeFill="background2" w:themeFillTint="33"/>
          </w:tcPr>
          <w:p w14:paraId="005BAA50" w14:textId="77777777" w:rsidR="0054555A" w:rsidRPr="007C4AC4" w:rsidRDefault="0054555A">
            <w:pPr>
              <w:keepNext/>
              <w:keepLines/>
              <w:rPr>
                <w:b/>
                <w:sz w:val="20"/>
                <w:szCs w:val="20"/>
              </w:rPr>
            </w:pPr>
          </w:p>
        </w:tc>
      </w:tr>
      <w:tr w:rsidR="0054555A" w:rsidRPr="007C4AC4" w14:paraId="7D57F6B9" w14:textId="77777777">
        <w:tc>
          <w:tcPr>
            <w:tcW w:w="7951" w:type="dxa"/>
            <w:gridSpan w:val="2"/>
            <w:shd w:val="clear" w:color="auto" w:fill="F2F2F2" w:themeFill="background1" w:themeFillShade="F2"/>
          </w:tcPr>
          <w:p w14:paraId="66553995" w14:textId="77777777" w:rsidR="0054555A" w:rsidRPr="003A7733" w:rsidRDefault="0054555A">
            <w:pPr>
              <w:keepNext/>
              <w:keepLines/>
              <w:rPr>
                <w:sz w:val="20"/>
                <w:szCs w:val="20"/>
              </w:rPr>
            </w:pPr>
            <w:r w:rsidRPr="003A7733">
              <w:rPr>
                <w:sz w:val="20"/>
                <w:szCs w:val="20"/>
              </w:rPr>
              <w:t>Flagfall ($)</w:t>
            </w:r>
          </w:p>
        </w:tc>
        <w:tc>
          <w:tcPr>
            <w:tcW w:w="1687" w:type="dxa"/>
            <w:shd w:val="clear" w:color="auto" w:fill="F2F2F2" w:themeFill="background1" w:themeFillShade="F2"/>
          </w:tcPr>
          <w:p w14:paraId="6E8EF4F3" w14:textId="37CA2827" w:rsidR="0054555A" w:rsidRPr="003A7733" w:rsidRDefault="0054555A">
            <w:pPr>
              <w:keepNext/>
              <w:keepLines/>
              <w:rPr>
                <w:sz w:val="20"/>
                <w:szCs w:val="20"/>
              </w:rPr>
            </w:pPr>
            <w:r w:rsidRPr="003A7733">
              <w:rPr>
                <w:sz w:val="20"/>
                <w:szCs w:val="20"/>
              </w:rPr>
              <w:t>$4.</w:t>
            </w:r>
            <w:r w:rsidR="00F91651">
              <w:rPr>
                <w:sz w:val="20"/>
                <w:szCs w:val="20"/>
              </w:rPr>
              <w:t>15</w:t>
            </w:r>
          </w:p>
        </w:tc>
      </w:tr>
      <w:tr w:rsidR="0054555A" w:rsidRPr="007C4AC4" w14:paraId="0EA6FF62" w14:textId="77777777">
        <w:tc>
          <w:tcPr>
            <w:tcW w:w="7951" w:type="dxa"/>
            <w:gridSpan w:val="2"/>
            <w:shd w:val="clear" w:color="auto" w:fill="F2F2F2" w:themeFill="background1" w:themeFillShade="F2"/>
          </w:tcPr>
          <w:p w14:paraId="32A11F81" w14:textId="77777777" w:rsidR="0054555A" w:rsidRPr="003A7733" w:rsidRDefault="0054555A">
            <w:pPr>
              <w:keepNext/>
              <w:keepLines/>
              <w:spacing w:before="0"/>
              <w:rPr>
                <w:sz w:val="20"/>
                <w:szCs w:val="20"/>
              </w:rPr>
            </w:pPr>
            <w:r w:rsidRPr="003A7733">
              <w:rPr>
                <w:sz w:val="20"/>
                <w:szCs w:val="20"/>
              </w:rPr>
              <w:t>Distance rate ($/km) (</w:t>
            </w:r>
            <w:proofErr w:type="gramStart"/>
            <w:r w:rsidRPr="003A7733">
              <w:rPr>
                <w:sz w:val="20"/>
                <w:szCs w:val="20"/>
              </w:rPr>
              <w:t>at all times</w:t>
            </w:r>
            <w:proofErr w:type="gramEnd"/>
            <w:r w:rsidRPr="003A7733">
              <w:rPr>
                <w:sz w:val="20"/>
                <w:szCs w:val="20"/>
              </w:rPr>
              <w:t>)</w:t>
            </w:r>
          </w:p>
        </w:tc>
        <w:tc>
          <w:tcPr>
            <w:tcW w:w="1687" w:type="dxa"/>
            <w:shd w:val="clear" w:color="auto" w:fill="F2F2F2" w:themeFill="background1" w:themeFillShade="F2"/>
          </w:tcPr>
          <w:p w14:paraId="6A425AEC" w14:textId="3ED1D5E5" w:rsidR="0054555A" w:rsidRPr="003A7733" w:rsidRDefault="0054555A">
            <w:pPr>
              <w:keepNext/>
              <w:keepLines/>
              <w:rPr>
                <w:sz w:val="20"/>
                <w:szCs w:val="20"/>
              </w:rPr>
            </w:pPr>
            <w:r w:rsidRPr="003A7733">
              <w:rPr>
                <w:sz w:val="20"/>
                <w:szCs w:val="20"/>
              </w:rPr>
              <w:t>$1.</w:t>
            </w:r>
            <w:r w:rsidR="006F2615">
              <w:rPr>
                <w:sz w:val="20"/>
                <w:szCs w:val="20"/>
              </w:rPr>
              <w:t>729</w:t>
            </w:r>
          </w:p>
        </w:tc>
      </w:tr>
      <w:tr w:rsidR="0054555A" w:rsidRPr="007C4AC4" w14:paraId="2DD2CE7A" w14:textId="77777777">
        <w:tc>
          <w:tcPr>
            <w:tcW w:w="7951" w:type="dxa"/>
            <w:gridSpan w:val="2"/>
            <w:shd w:val="clear" w:color="auto" w:fill="F2F2F2" w:themeFill="background1" w:themeFillShade="F2"/>
          </w:tcPr>
          <w:p w14:paraId="379FF871" w14:textId="7BA85646" w:rsidR="0054555A" w:rsidRPr="003A7733" w:rsidRDefault="00006FDB">
            <w:pPr>
              <w:keepNext/>
              <w:keepLines/>
              <w:spacing w:before="0"/>
              <w:rPr>
                <w:sz w:val="20"/>
                <w:szCs w:val="20"/>
              </w:rPr>
            </w:pPr>
            <w:r>
              <w:rPr>
                <w:sz w:val="20"/>
                <w:szCs w:val="20"/>
              </w:rPr>
              <w:t>Duration rate</w:t>
            </w:r>
            <w:r w:rsidR="0054555A" w:rsidRPr="003A7733">
              <w:rPr>
                <w:sz w:val="20"/>
                <w:szCs w:val="20"/>
              </w:rPr>
              <w:t xml:space="preserve"> ($/min) (</w:t>
            </w:r>
            <w:proofErr w:type="gramStart"/>
            <w:r w:rsidR="0054555A" w:rsidRPr="003A7733">
              <w:rPr>
                <w:sz w:val="20"/>
                <w:szCs w:val="20"/>
              </w:rPr>
              <w:t>at all times</w:t>
            </w:r>
            <w:proofErr w:type="gramEnd"/>
            <w:r w:rsidR="0054555A" w:rsidRPr="003A7733">
              <w:rPr>
                <w:sz w:val="20"/>
                <w:szCs w:val="20"/>
              </w:rPr>
              <w:t>)</w:t>
            </w:r>
          </w:p>
        </w:tc>
        <w:tc>
          <w:tcPr>
            <w:tcW w:w="1687" w:type="dxa"/>
            <w:shd w:val="clear" w:color="auto" w:fill="F2F2F2" w:themeFill="background1" w:themeFillShade="F2"/>
          </w:tcPr>
          <w:p w14:paraId="0F0AD67A" w14:textId="6D53FFA8" w:rsidR="0054555A" w:rsidRPr="003A7733" w:rsidRDefault="0054555A">
            <w:pPr>
              <w:keepNext/>
              <w:keepLines/>
              <w:rPr>
                <w:sz w:val="20"/>
                <w:szCs w:val="20"/>
              </w:rPr>
            </w:pPr>
            <w:r w:rsidRPr="003A7733">
              <w:rPr>
                <w:sz w:val="20"/>
                <w:szCs w:val="20"/>
              </w:rPr>
              <w:t>$0.</w:t>
            </w:r>
            <w:r w:rsidR="006F2615">
              <w:rPr>
                <w:sz w:val="20"/>
                <w:szCs w:val="20"/>
              </w:rPr>
              <w:t>568</w:t>
            </w:r>
          </w:p>
        </w:tc>
      </w:tr>
      <w:tr w:rsidR="0054555A" w:rsidRPr="007C4AC4" w14:paraId="1DDCB48D" w14:textId="77777777">
        <w:tc>
          <w:tcPr>
            <w:tcW w:w="7951" w:type="dxa"/>
            <w:gridSpan w:val="2"/>
            <w:shd w:val="clear" w:color="auto" w:fill="E3E3E4" w:themeFill="background2" w:themeFillTint="33"/>
          </w:tcPr>
          <w:p w14:paraId="0B47F517" w14:textId="77777777" w:rsidR="0054555A" w:rsidRPr="003A7733" w:rsidRDefault="0054555A">
            <w:pPr>
              <w:keepNext/>
              <w:keepLines/>
              <w:rPr>
                <w:b/>
                <w:sz w:val="20"/>
                <w:szCs w:val="20"/>
              </w:rPr>
            </w:pPr>
            <w:r w:rsidRPr="003A7733">
              <w:rPr>
                <w:b/>
                <w:sz w:val="20"/>
                <w:szCs w:val="20"/>
              </w:rPr>
              <w:t>High occupancy trips</w:t>
            </w:r>
          </w:p>
        </w:tc>
        <w:tc>
          <w:tcPr>
            <w:tcW w:w="1687" w:type="dxa"/>
            <w:shd w:val="clear" w:color="auto" w:fill="E3E3E4" w:themeFill="background2" w:themeFillTint="33"/>
          </w:tcPr>
          <w:p w14:paraId="629233DE" w14:textId="77777777" w:rsidR="0054555A" w:rsidRPr="003A7733" w:rsidRDefault="0054555A">
            <w:pPr>
              <w:keepNext/>
              <w:keepLines/>
              <w:spacing w:before="0"/>
              <w:jc w:val="center"/>
              <w:rPr>
                <w:b/>
                <w:sz w:val="20"/>
                <w:szCs w:val="20"/>
              </w:rPr>
            </w:pPr>
          </w:p>
        </w:tc>
      </w:tr>
      <w:tr w:rsidR="0054555A" w:rsidRPr="007C4AC4" w14:paraId="25B817CD" w14:textId="77777777">
        <w:tc>
          <w:tcPr>
            <w:tcW w:w="7951" w:type="dxa"/>
            <w:gridSpan w:val="2"/>
            <w:shd w:val="clear" w:color="auto" w:fill="F2F2F2" w:themeFill="background1" w:themeFillShade="F2"/>
          </w:tcPr>
          <w:p w14:paraId="37074417" w14:textId="77777777" w:rsidR="0054555A" w:rsidRPr="003A7733" w:rsidRDefault="0054555A">
            <w:pPr>
              <w:keepNext/>
              <w:keepLines/>
              <w:tabs>
                <w:tab w:val="left" w:pos="5124"/>
              </w:tabs>
              <w:spacing w:before="0"/>
              <w:rPr>
                <w:sz w:val="20"/>
                <w:szCs w:val="20"/>
              </w:rPr>
            </w:pPr>
            <w:r w:rsidRPr="003A7733">
              <w:rPr>
                <w:sz w:val="20"/>
                <w:szCs w:val="20"/>
              </w:rPr>
              <w:t>For trips with 5 or more passengers: not applicable if the commercial passenger vehicle does not have the capacity for carriage of 5 or more passengers in fixed seats. ‘Fixed seats’ does not include positions for the carriage of persons in wheelchairs.</w:t>
            </w:r>
          </w:p>
        </w:tc>
        <w:tc>
          <w:tcPr>
            <w:tcW w:w="1687" w:type="dxa"/>
            <w:shd w:val="clear" w:color="auto" w:fill="F2F2F2" w:themeFill="background1" w:themeFillShade="F2"/>
          </w:tcPr>
          <w:p w14:paraId="2CCBE90B" w14:textId="77777777" w:rsidR="0054555A" w:rsidRPr="003A7733" w:rsidRDefault="0054555A">
            <w:pPr>
              <w:keepNext/>
              <w:keepLines/>
              <w:spacing w:before="0"/>
              <w:jc w:val="center"/>
              <w:rPr>
                <w:sz w:val="20"/>
                <w:szCs w:val="20"/>
              </w:rPr>
            </w:pPr>
          </w:p>
        </w:tc>
      </w:tr>
      <w:tr w:rsidR="0054555A" w:rsidRPr="007C4AC4" w14:paraId="1610A080" w14:textId="77777777">
        <w:tc>
          <w:tcPr>
            <w:tcW w:w="7951" w:type="dxa"/>
            <w:gridSpan w:val="2"/>
            <w:shd w:val="clear" w:color="auto" w:fill="F2F2F2" w:themeFill="background1" w:themeFillShade="F2"/>
          </w:tcPr>
          <w:p w14:paraId="2275CDEB" w14:textId="77777777" w:rsidR="0054555A" w:rsidRPr="003A7733" w:rsidRDefault="0054555A">
            <w:pPr>
              <w:keepNext/>
              <w:keepLines/>
              <w:spacing w:before="0"/>
              <w:rPr>
                <w:sz w:val="20"/>
                <w:szCs w:val="20"/>
              </w:rPr>
            </w:pPr>
            <w:r w:rsidRPr="003A7733">
              <w:rPr>
                <w:sz w:val="20"/>
                <w:szCs w:val="20"/>
              </w:rPr>
              <w:t>Flagfall ($)</w:t>
            </w:r>
          </w:p>
        </w:tc>
        <w:tc>
          <w:tcPr>
            <w:tcW w:w="1687" w:type="dxa"/>
            <w:shd w:val="clear" w:color="auto" w:fill="F2F2F2" w:themeFill="background1" w:themeFillShade="F2"/>
          </w:tcPr>
          <w:p w14:paraId="1C697DED" w14:textId="36DBF9B1" w:rsidR="0054555A" w:rsidRPr="003A7733" w:rsidRDefault="0054555A">
            <w:pPr>
              <w:keepNext/>
              <w:keepLines/>
              <w:spacing w:before="0"/>
              <w:rPr>
                <w:sz w:val="20"/>
                <w:szCs w:val="20"/>
              </w:rPr>
            </w:pPr>
            <w:r w:rsidRPr="003A7733">
              <w:rPr>
                <w:sz w:val="20"/>
                <w:szCs w:val="20"/>
              </w:rPr>
              <w:t>$4.</w:t>
            </w:r>
            <w:r w:rsidR="006F2615">
              <w:rPr>
                <w:sz w:val="20"/>
                <w:szCs w:val="20"/>
              </w:rPr>
              <w:t>15</w:t>
            </w:r>
          </w:p>
        </w:tc>
      </w:tr>
      <w:tr w:rsidR="0054555A" w:rsidRPr="007C4AC4" w14:paraId="7BCFE644" w14:textId="77777777">
        <w:tc>
          <w:tcPr>
            <w:tcW w:w="7951" w:type="dxa"/>
            <w:gridSpan w:val="2"/>
            <w:shd w:val="clear" w:color="auto" w:fill="F2F2F2" w:themeFill="background1" w:themeFillShade="F2"/>
          </w:tcPr>
          <w:p w14:paraId="16EA1935" w14:textId="77777777" w:rsidR="0054555A" w:rsidRPr="003A7733" w:rsidRDefault="0054555A">
            <w:pPr>
              <w:keepNext/>
              <w:keepLines/>
              <w:spacing w:before="0"/>
              <w:rPr>
                <w:sz w:val="20"/>
                <w:szCs w:val="20"/>
              </w:rPr>
            </w:pPr>
            <w:r w:rsidRPr="003A7733">
              <w:rPr>
                <w:sz w:val="20"/>
                <w:szCs w:val="20"/>
              </w:rPr>
              <w:t>Distance rate ($/km) (</w:t>
            </w:r>
            <w:proofErr w:type="gramStart"/>
            <w:r w:rsidRPr="003A7733">
              <w:rPr>
                <w:sz w:val="20"/>
                <w:szCs w:val="20"/>
              </w:rPr>
              <w:t>at all times</w:t>
            </w:r>
            <w:proofErr w:type="gramEnd"/>
            <w:r w:rsidRPr="003A7733">
              <w:rPr>
                <w:sz w:val="20"/>
                <w:szCs w:val="20"/>
              </w:rPr>
              <w:t>)</w:t>
            </w:r>
          </w:p>
        </w:tc>
        <w:tc>
          <w:tcPr>
            <w:tcW w:w="1687" w:type="dxa"/>
            <w:shd w:val="clear" w:color="auto" w:fill="F2F2F2" w:themeFill="background1" w:themeFillShade="F2"/>
          </w:tcPr>
          <w:p w14:paraId="2DD5BD67" w14:textId="237CF1F3" w:rsidR="0054555A" w:rsidRPr="003A7733" w:rsidRDefault="0054555A">
            <w:pPr>
              <w:keepNext/>
              <w:keepLines/>
              <w:spacing w:before="0"/>
              <w:rPr>
                <w:sz w:val="20"/>
                <w:szCs w:val="20"/>
              </w:rPr>
            </w:pPr>
            <w:r w:rsidRPr="003A7733">
              <w:rPr>
                <w:sz w:val="20"/>
                <w:szCs w:val="20"/>
              </w:rPr>
              <w:t>$2.</w:t>
            </w:r>
            <w:r w:rsidR="006F2615">
              <w:rPr>
                <w:sz w:val="20"/>
                <w:szCs w:val="20"/>
              </w:rPr>
              <w:t>851</w:t>
            </w:r>
          </w:p>
        </w:tc>
      </w:tr>
      <w:tr w:rsidR="0054555A" w:rsidRPr="007C4AC4" w14:paraId="6B3A2643" w14:textId="77777777">
        <w:tc>
          <w:tcPr>
            <w:tcW w:w="7951" w:type="dxa"/>
            <w:gridSpan w:val="2"/>
            <w:shd w:val="clear" w:color="auto" w:fill="F2F2F2" w:themeFill="background1" w:themeFillShade="F2"/>
          </w:tcPr>
          <w:p w14:paraId="71C1B456" w14:textId="4180B488" w:rsidR="0054555A" w:rsidRPr="003A7733" w:rsidRDefault="00B90A52">
            <w:pPr>
              <w:keepNext/>
              <w:keepLines/>
              <w:spacing w:before="0"/>
              <w:rPr>
                <w:sz w:val="20"/>
                <w:szCs w:val="20"/>
              </w:rPr>
            </w:pPr>
            <w:r>
              <w:rPr>
                <w:sz w:val="20"/>
                <w:szCs w:val="20"/>
              </w:rPr>
              <w:t>Duration rate</w:t>
            </w:r>
            <w:r w:rsidR="0054555A" w:rsidRPr="003A7733">
              <w:rPr>
                <w:sz w:val="20"/>
                <w:szCs w:val="20"/>
              </w:rPr>
              <w:t xml:space="preserve"> ($/min) (</w:t>
            </w:r>
            <w:proofErr w:type="gramStart"/>
            <w:r w:rsidR="0054555A" w:rsidRPr="003A7733">
              <w:rPr>
                <w:sz w:val="20"/>
                <w:szCs w:val="20"/>
              </w:rPr>
              <w:t>at all times</w:t>
            </w:r>
            <w:proofErr w:type="gramEnd"/>
            <w:r w:rsidR="0054555A" w:rsidRPr="003A7733">
              <w:rPr>
                <w:sz w:val="20"/>
                <w:szCs w:val="20"/>
              </w:rPr>
              <w:t>)</w:t>
            </w:r>
          </w:p>
        </w:tc>
        <w:tc>
          <w:tcPr>
            <w:tcW w:w="1687" w:type="dxa"/>
            <w:shd w:val="clear" w:color="auto" w:fill="F2F2F2" w:themeFill="background1" w:themeFillShade="F2"/>
          </w:tcPr>
          <w:p w14:paraId="2F304E57" w14:textId="1888628C" w:rsidR="0054555A" w:rsidRPr="003A7733" w:rsidRDefault="0054555A">
            <w:pPr>
              <w:keepNext/>
              <w:keepLines/>
              <w:spacing w:before="0"/>
              <w:rPr>
                <w:sz w:val="20"/>
                <w:szCs w:val="20"/>
              </w:rPr>
            </w:pPr>
            <w:r w:rsidRPr="003A7733">
              <w:rPr>
                <w:sz w:val="20"/>
                <w:szCs w:val="20"/>
              </w:rPr>
              <w:t>$0.</w:t>
            </w:r>
            <w:r w:rsidR="006F2615">
              <w:rPr>
                <w:sz w:val="20"/>
                <w:szCs w:val="20"/>
              </w:rPr>
              <w:t>6</w:t>
            </w:r>
            <w:r w:rsidR="00DB18A9">
              <w:rPr>
                <w:sz w:val="20"/>
                <w:szCs w:val="20"/>
              </w:rPr>
              <w:t>18</w:t>
            </w:r>
          </w:p>
        </w:tc>
      </w:tr>
      <w:tr w:rsidR="0054555A" w:rsidRPr="007C4AC4" w14:paraId="4FDCF6A9" w14:textId="77777777">
        <w:tc>
          <w:tcPr>
            <w:tcW w:w="7951" w:type="dxa"/>
            <w:gridSpan w:val="2"/>
            <w:shd w:val="clear" w:color="auto" w:fill="E3E3E4" w:themeFill="background2" w:themeFillTint="33"/>
          </w:tcPr>
          <w:p w14:paraId="30DABD32" w14:textId="77777777" w:rsidR="0054555A" w:rsidRPr="003A7733" w:rsidRDefault="0054555A">
            <w:pPr>
              <w:keepNext/>
              <w:keepLines/>
              <w:rPr>
                <w:b/>
                <w:sz w:val="20"/>
                <w:szCs w:val="20"/>
              </w:rPr>
            </w:pPr>
            <w:r w:rsidRPr="003A7733">
              <w:rPr>
                <w:b/>
                <w:sz w:val="20"/>
                <w:szCs w:val="20"/>
              </w:rPr>
              <w:t xml:space="preserve">Other fare components </w:t>
            </w:r>
          </w:p>
        </w:tc>
        <w:tc>
          <w:tcPr>
            <w:tcW w:w="1687" w:type="dxa"/>
            <w:shd w:val="clear" w:color="auto" w:fill="E3E3E4" w:themeFill="background2" w:themeFillTint="33"/>
          </w:tcPr>
          <w:p w14:paraId="5298ED85" w14:textId="77777777" w:rsidR="0054555A" w:rsidRPr="003A7733" w:rsidRDefault="0054555A">
            <w:pPr>
              <w:keepNext/>
              <w:keepLines/>
              <w:spacing w:before="0"/>
              <w:jc w:val="center"/>
              <w:rPr>
                <w:b/>
                <w:sz w:val="20"/>
                <w:szCs w:val="20"/>
              </w:rPr>
            </w:pPr>
          </w:p>
        </w:tc>
      </w:tr>
      <w:tr w:rsidR="0054555A" w:rsidRPr="007C4AC4" w14:paraId="1990AB43" w14:textId="77777777">
        <w:tc>
          <w:tcPr>
            <w:tcW w:w="3210" w:type="dxa"/>
            <w:shd w:val="clear" w:color="auto" w:fill="F2F2F2" w:themeFill="background1" w:themeFillShade="F2"/>
          </w:tcPr>
          <w:p w14:paraId="6AEF8816" w14:textId="77777777" w:rsidR="0054555A" w:rsidRPr="003A7733" w:rsidRDefault="0054555A">
            <w:pPr>
              <w:keepNext/>
              <w:keepLines/>
              <w:rPr>
                <w:sz w:val="20"/>
                <w:szCs w:val="20"/>
              </w:rPr>
            </w:pPr>
            <w:r w:rsidRPr="003A7733">
              <w:rPr>
                <w:sz w:val="20"/>
                <w:szCs w:val="20"/>
              </w:rPr>
              <w:t>Late night fee</w:t>
            </w:r>
          </w:p>
        </w:tc>
        <w:tc>
          <w:tcPr>
            <w:tcW w:w="4741" w:type="dxa"/>
            <w:shd w:val="clear" w:color="auto" w:fill="F2F2F2" w:themeFill="background1" w:themeFillShade="F2"/>
          </w:tcPr>
          <w:p w14:paraId="024493E8" w14:textId="77777777" w:rsidR="0054555A" w:rsidRPr="003A7733" w:rsidRDefault="0054555A">
            <w:pPr>
              <w:keepNext/>
              <w:keepLines/>
              <w:spacing w:line="240" w:lineRule="auto"/>
              <w:rPr>
                <w:sz w:val="20"/>
                <w:szCs w:val="20"/>
              </w:rPr>
            </w:pPr>
            <w:r w:rsidRPr="003A7733">
              <w:rPr>
                <w:sz w:val="20"/>
                <w:szCs w:val="20"/>
              </w:rPr>
              <w:t>For trips commencing between 7pm on Friday and Saturday nights through to 6am the following morning; and from midnight to 6am on all other days</w:t>
            </w:r>
          </w:p>
        </w:tc>
        <w:tc>
          <w:tcPr>
            <w:tcW w:w="1687" w:type="dxa"/>
            <w:shd w:val="clear" w:color="auto" w:fill="F2F2F2" w:themeFill="background1" w:themeFillShade="F2"/>
            <w:vAlign w:val="center"/>
          </w:tcPr>
          <w:p w14:paraId="1BEACB94" w14:textId="0E05A2E5" w:rsidR="0054555A" w:rsidRPr="003A7733" w:rsidRDefault="0054555A">
            <w:pPr>
              <w:keepNext/>
              <w:keepLines/>
              <w:rPr>
                <w:sz w:val="20"/>
                <w:szCs w:val="20"/>
              </w:rPr>
            </w:pPr>
            <w:r w:rsidRPr="003A7733">
              <w:rPr>
                <w:sz w:val="20"/>
                <w:szCs w:val="20"/>
              </w:rPr>
              <w:t>$3.</w:t>
            </w:r>
            <w:r w:rsidR="004D0D69">
              <w:rPr>
                <w:sz w:val="20"/>
                <w:szCs w:val="20"/>
              </w:rPr>
              <w:t>95</w:t>
            </w:r>
          </w:p>
        </w:tc>
      </w:tr>
      <w:tr w:rsidR="0054555A" w:rsidRPr="007C4AC4" w14:paraId="697FECCE" w14:textId="77777777">
        <w:tc>
          <w:tcPr>
            <w:tcW w:w="3210" w:type="dxa"/>
            <w:shd w:val="clear" w:color="auto" w:fill="F2F2F2" w:themeFill="background1" w:themeFillShade="F2"/>
          </w:tcPr>
          <w:p w14:paraId="5E06E030" w14:textId="118013D4" w:rsidR="0054555A" w:rsidRPr="003A7733" w:rsidRDefault="0054555A">
            <w:pPr>
              <w:keepNext/>
              <w:keepLines/>
              <w:rPr>
                <w:sz w:val="20"/>
                <w:szCs w:val="20"/>
                <w:vertAlign w:val="superscript"/>
              </w:rPr>
            </w:pPr>
            <w:r w:rsidRPr="003A7733">
              <w:rPr>
                <w:sz w:val="20"/>
                <w:szCs w:val="20"/>
              </w:rPr>
              <w:t xml:space="preserve">Holiday rate </w:t>
            </w:r>
            <w:proofErr w:type="spellStart"/>
            <w:proofErr w:type="gramStart"/>
            <w:r w:rsidRPr="00715297">
              <w:rPr>
                <w:b/>
                <w:sz w:val="20"/>
                <w:szCs w:val="20"/>
                <w:vertAlign w:val="superscript"/>
              </w:rPr>
              <w:t>a</w:t>
            </w:r>
            <w:r w:rsidR="00715297" w:rsidRPr="00715297">
              <w:rPr>
                <w:b/>
                <w:sz w:val="20"/>
                <w:szCs w:val="20"/>
                <w:vertAlign w:val="superscript"/>
              </w:rPr>
              <w:t>,</w:t>
            </w:r>
            <w:r w:rsidRPr="00715297">
              <w:rPr>
                <w:b/>
                <w:sz w:val="20"/>
                <w:szCs w:val="20"/>
                <w:vertAlign w:val="superscript"/>
              </w:rPr>
              <w:t>b</w:t>
            </w:r>
            <w:proofErr w:type="spellEnd"/>
            <w:proofErr w:type="gramEnd"/>
          </w:p>
        </w:tc>
        <w:tc>
          <w:tcPr>
            <w:tcW w:w="4741" w:type="dxa"/>
            <w:shd w:val="clear" w:color="auto" w:fill="F2F2F2" w:themeFill="background1" w:themeFillShade="F2"/>
          </w:tcPr>
          <w:p w14:paraId="48D369C7" w14:textId="77777777" w:rsidR="0054555A" w:rsidRPr="003A7733" w:rsidRDefault="0054555A">
            <w:pPr>
              <w:keepNext/>
              <w:keepLines/>
              <w:tabs>
                <w:tab w:val="left" w:pos="2880"/>
              </w:tabs>
              <w:rPr>
                <w:sz w:val="20"/>
                <w:szCs w:val="20"/>
              </w:rPr>
            </w:pPr>
          </w:p>
        </w:tc>
        <w:tc>
          <w:tcPr>
            <w:tcW w:w="1687" w:type="dxa"/>
            <w:shd w:val="clear" w:color="auto" w:fill="F2F2F2" w:themeFill="background1" w:themeFillShade="F2"/>
          </w:tcPr>
          <w:p w14:paraId="718DD70C" w14:textId="2352998D" w:rsidR="0054555A" w:rsidRPr="003A7733" w:rsidRDefault="0054555A">
            <w:pPr>
              <w:keepNext/>
              <w:keepLines/>
              <w:rPr>
                <w:sz w:val="20"/>
                <w:szCs w:val="20"/>
              </w:rPr>
            </w:pPr>
            <w:r w:rsidRPr="003A7733">
              <w:rPr>
                <w:sz w:val="20"/>
                <w:szCs w:val="20"/>
              </w:rPr>
              <w:t>$4.</w:t>
            </w:r>
            <w:r w:rsidR="004D0D69">
              <w:rPr>
                <w:sz w:val="20"/>
                <w:szCs w:val="20"/>
              </w:rPr>
              <w:t>8</w:t>
            </w:r>
            <w:r w:rsidRPr="003A7733">
              <w:rPr>
                <w:sz w:val="20"/>
                <w:szCs w:val="20"/>
              </w:rPr>
              <w:t>5</w:t>
            </w:r>
          </w:p>
        </w:tc>
      </w:tr>
      <w:tr w:rsidR="0054555A" w:rsidRPr="007C4AC4" w14:paraId="45327F4B" w14:textId="77777777">
        <w:tc>
          <w:tcPr>
            <w:tcW w:w="3210" w:type="dxa"/>
            <w:shd w:val="clear" w:color="auto" w:fill="F2F2F2" w:themeFill="background1" w:themeFillShade="F2"/>
          </w:tcPr>
          <w:p w14:paraId="6BAC8801" w14:textId="77777777" w:rsidR="0054555A" w:rsidRPr="007C4AC4" w:rsidRDefault="0054555A">
            <w:pPr>
              <w:keepNext/>
              <w:keepLines/>
              <w:rPr>
                <w:sz w:val="20"/>
                <w:szCs w:val="20"/>
              </w:rPr>
            </w:pPr>
            <w:r w:rsidRPr="007C4AC4">
              <w:rPr>
                <w:sz w:val="20"/>
                <w:szCs w:val="20"/>
              </w:rPr>
              <w:t>CPV levy recovery fee</w:t>
            </w:r>
          </w:p>
        </w:tc>
        <w:tc>
          <w:tcPr>
            <w:tcW w:w="4741" w:type="dxa"/>
            <w:shd w:val="clear" w:color="auto" w:fill="F2F2F2" w:themeFill="background1" w:themeFillShade="F2"/>
          </w:tcPr>
          <w:p w14:paraId="54EA8127" w14:textId="77777777" w:rsidR="0054555A" w:rsidRPr="007C4AC4" w:rsidRDefault="0054555A">
            <w:pPr>
              <w:keepNext/>
              <w:keepLines/>
              <w:tabs>
                <w:tab w:val="left" w:pos="2880"/>
              </w:tabs>
              <w:rPr>
                <w:sz w:val="20"/>
                <w:szCs w:val="20"/>
              </w:rPr>
            </w:pPr>
          </w:p>
        </w:tc>
        <w:tc>
          <w:tcPr>
            <w:tcW w:w="1687" w:type="dxa"/>
            <w:shd w:val="clear" w:color="auto" w:fill="F2F2F2" w:themeFill="background1" w:themeFillShade="F2"/>
          </w:tcPr>
          <w:p w14:paraId="4369997F" w14:textId="77777777" w:rsidR="0054555A" w:rsidRPr="007C4AC4" w:rsidRDefault="0054555A">
            <w:pPr>
              <w:keepNext/>
              <w:keepLines/>
              <w:rPr>
                <w:sz w:val="20"/>
                <w:szCs w:val="20"/>
              </w:rPr>
            </w:pPr>
            <w:r w:rsidRPr="007C4AC4">
              <w:rPr>
                <w:sz w:val="20"/>
                <w:szCs w:val="20"/>
              </w:rPr>
              <w:t>Pass-through</w:t>
            </w:r>
          </w:p>
        </w:tc>
      </w:tr>
      <w:tr w:rsidR="0054555A" w:rsidRPr="007C4AC4" w14:paraId="186368C3" w14:textId="77777777">
        <w:tc>
          <w:tcPr>
            <w:tcW w:w="3210" w:type="dxa"/>
            <w:shd w:val="clear" w:color="auto" w:fill="F2F2F2" w:themeFill="background1" w:themeFillShade="F2"/>
          </w:tcPr>
          <w:p w14:paraId="3D4A3823" w14:textId="0B7218A3" w:rsidR="0054555A" w:rsidRPr="007C4AC4" w:rsidRDefault="0054555A">
            <w:pPr>
              <w:keepNext/>
              <w:keepLines/>
              <w:rPr>
                <w:sz w:val="20"/>
                <w:szCs w:val="20"/>
              </w:rPr>
            </w:pPr>
            <w:r w:rsidRPr="007C4AC4">
              <w:rPr>
                <w:sz w:val="20"/>
                <w:szCs w:val="20"/>
              </w:rPr>
              <w:t xml:space="preserve">CityLink and EastLink tolls </w:t>
            </w:r>
            <w:r w:rsidRPr="00715297">
              <w:rPr>
                <w:b/>
                <w:bCs/>
                <w:sz w:val="20"/>
                <w:szCs w:val="20"/>
                <w:vertAlign w:val="superscript"/>
              </w:rPr>
              <w:t>c</w:t>
            </w:r>
          </w:p>
        </w:tc>
        <w:tc>
          <w:tcPr>
            <w:tcW w:w="4741" w:type="dxa"/>
            <w:shd w:val="clear" w:color="auto" w:fill="F2F2F2" w:themeFill="background1" w:themeFillShade="F2"/>
          </w:tcPr>
          <w:p w14:paraId="63587306" w14:textId="77777777" w:rsidR="0054555A" w:rsidRPr="007C4AC4" w:rsidRDefault="0054555A">
            <w:pPr>
              <w:keepNext/>
              <w:keepLines/>
              <w:tabs>
                <w:tab w:val="left" w:pos="2880"/>
              </w:tabs>
              <w:rPr>
                <w:sz w:val="20"/>
                <w:szCs w:val="20"/>
              </w:rPr>
            </w:pPr>
          </w:p>
        </w:tc>
        <w:tc>
          <w:tcPr>
            <w:tcW w:w="1687" w:type="dxa"/>
            <w:shd w:val="clear" w:color="auto" w:fill="F2F2F2" w:themeFill="background1" w:themeFillShade="F2"/>
          </w:tcPr>
          <w:p w14:paraId="5341A4FD" w14:textId="77777777" w:rsidR="0054555A" w:rsidRPr="007C4AC4" w:rsidRDefault="0054555A">
            <w:pPr>
              <w:keepNext/>
              <w:keepLines/>
              <w:rPr>
                <w:sz w:val="20"/>
                <w:szCs w:val="20"/>
              </w:rPr>
            </w:pPr>
            <w:r w:rsidRPr="007C4AC4">
              <w:rPr>
                <w:sz w:val="20"/>
                <w:szCs w:val="20"/>
              </w:rPr>
              <w:t>Pass-through</w:t>
            </w:r>
          </w:p>
        </w:tc>
      </w:tr>
      <w:tr w:rsidR="0054555A" w:rsidRPr="007C4AC4" w14:paraId="3A5C2B36" w14:textId="77777777">
        <w:tc>
          <w:tcPr>
            <w:tcW w:w="3210" w:type="dxa"/>
            <w:shd w:val="clear" w:color="auto" w:fill="F2F2F2" w:themeFill="background1" w:themeFillShade="F2"/>
          </w:tcPr>
          <w:p w14:paraId="38B6B511" w14:textId="0672B0A9" w:rsidR="0054555A" w:rsidRPr="007C4AC4" w:rsidRDefault="0054555A">
            <w:pPr>
              <w:keepNext/>
              <w:keepLines/>
              <w:rPr>
                <w:sz w:val="20"/>
                <w:szCs w:val="20"/>
              </w:rPr>
            </w:pPr>
            <w:r w:rsidRPr="007C4AC4">
              <w:rPr>
                <w:sz w:val="20"/>
                <w:szCs w:val="20"/>
              </w:rPr>
              <w:t xml:space="preserve">Airport </w:t>
            </w:r>
            <w:r>
              <w:rPr>
                <w:sz w:val="20"/>
                <w:szCs w:val="20"/>
              </w:rPr>
              <w:t xml:space="preserve">taxi </w:t>
            </w:r>
            <w:r w:rsidRPr="007C4AC4">
              <w:rPr>
                <w:sz w:val="20"/>
                <w:szCs w:val="20"/>
              </w:rPr>
              <w:t>rank fee</w:t>
            </w:r>
            <w:r w:rsidR="00715297">
              <w:rPr>
                <w:sz w:val="20"/>
                <w:szCs w:val="20"/>
              </w:rPr>
              <w:t xml:space="preserve"> </w:t>
            </w:r>
            <w:r w:rsidRPr="00715297">
              <w:rPr>
                <w:b/>
                <w:bCs/>
                <w:sz w:val="20"/>
                <w:szCs w:val="20"/>
                <w:vertAlign w:val="superscript"/>
              </w:rPr>
              <w:t>d</w:t>
            </w:r>
          </w:p>
        </w:tc>
        <w:tc>
          <w:tcPr>
            <w:tcW w:w="4741" w:type="dxa"/>
            <w:shd w:val="clear" w:color="auto" w:fill="F2F2F2" w:themeFill="background1" w:themeFillShade="F2"/>
          </w:tcPr>
          <w:p w14:paraId="544D17CE" w14:textId="77777777" w:rsidR="0054555A" w:rsidRPr="007C4AC4" w:rsidRDefault="0054555A">
            <w:pPr>
              <w:keepNext/>
              <w:keepLines/>
              <w:tabs>
                <w:tab w:val="left" w:pos="2880"/>
              </w:tabs>
              <w:rPr>
                <w:sz w:val="20"/>
                <w:szCs w:val="20"/>
              </w:rPr>
            </w:pPr>
            <w:r w:rsidRPr="007C4AC4">
              <w:rPr>
                <w:sz w:val="20"/>
                <w:szCs w:val="20"/>
              </w:rPr>
              <w:t>For trips from the airport rank</w:t>
            </w:r>
          </w:p>
        </w:tc>
        <w:tc>
          <w:tcPr>
            <w:tcW w:w="1687" w:type="dxa"/>
            <w:shd w:val="clear" w:color="auto" w:fill="F2F2F2" w:themeFill="background1" w:themeFillShade="F2"/>
          </w:tcPr>
          <w:p w14:paraId="2C971061" w14:textId="77777777" w:rsidR="0054555A" w:rsidRPr="007C4AC4" w:rsidRDefault="0054555A">
            <w:pPr>
              <w:keepNext/>
              <w:keepLines/>
              <w:rPr>
                <w:sz w:val="20"/>
                <w:szCs w:val="20"/>
              </w:rPr>
            </w:pPr>
            <w:r w:rsidRPr="007C4AC4">
              <w:rPr>
                <w:sz w:val="20"/>
                <w:szCs w:val="20"/>
              </w:rPr>
              <w:t>Pass-through</w:t>
            </w:r>
          </w:p>
        </w:tc>
      </w:tr>
      <w:tr w:rsidR="0054555A" w:rsidRPr="007C4AC4" w14:paraId="3110F5B4" w14:textId="77777777">
        <w:tc>
          <w:tcPr>
            <w:tcW w:w="3210" w:type="dxa"/>
            <w:shd w:val="clear" w:color="auto" w:fill="F2F2F2" w:themeFill="background1" w:themeFillShade="F2"/>
          </w:tcPr>
          <w:p w14:paraId="7CF28583" w14:textId="77777777" w:rsidR="0054555A" w:rsidRPr="007C4AC4" w:rsidRDefault="0054555A">
            <w:pPr>
              <w:keepNext/>
              <w:keepLines/>
              <w:rPr>
                <w:sz w:val="20"/>
                <w:szCs w:val="20"/>
              </w:rPr>
            </w:pPr>
            <w:r w:rsidRPr="007C4AC4">
              <w:rPr>
                <w:sz w:val="20"/>
                <w:szCs w:val="20"/>
              </w:rPr>
              <w:t>Cleaning fee</w:t>
            </w:r>
          </w:p>
        </w:tc>
        <w:tc>
          <w:tcPr>
            <w:tcW w:w="6428" w:type="dxa"/>
            <w:gridSpan w:val="2"/>
            <w:shd w:val="clear" w:color="auto" w:fill="F2F2F2" w:themeFill="background1" w:themeFillShade="F2"/>
          </w:tcPr>
          <w:p w14:paraId="7EF8FD0E" w14:textId="77777777" w:rsidR="0054555A" w:rsidRPr="007C4AC4" w:rsidRDefault="0054555A">
            <w:pPr>
              <w:keepNext/>
              <w:keepLines/>
              <w:jc w:val="right"/>
              <w:rPr>
                <w:sz w:val="20"/>
                <w:szCs w:val="20"/>
              </w:rPr>
            </w:pPr>
            <w:r w:rsidRPr="007C4AC4">
              <w:rPr>
                <w:sz w:val="20"/>
                <w:szCs w:val="20"/>
              </w:rPr>
              <w:t>Up to a maximum of $120</w:t>
            </w:r>
          </w:p>
        </w:tc>
      </w:tr>
    </w:tbl>
    <w:p w14:paraId="0F27AD11" w14:textId="0605A699" w:rsidR="0054555A" w:rsidRDefault="0054555A" w:rsidP="004A42BB">
      <w:pPr>
        <w:keepNext/>
        <w:keepLines/>
        <w:spacing w:before="0" w:after="0" w:line="240" w:lineRule="auto"/>
        <w:jc w:val="both"/>
        <w:rPr>
          <w:rFonts w:ascii="Arial" w:eastAsia="Arial" w:hAnsi="Arial" w:cs="Arial"/>
          <w:iCs/>
          <w:color w:val="4986A0"/>
          <w:sz w:val="18"/>
          <w:szCs w:val="18"/>
        </w:rPr>
      </w:pPr>
      <w:proofErr w:type="spellStart"/>
      <w:r w:rsidRPr="00715297">
        <w:rPr>
          <w:rFonts w:ascii="Arial" w:eastAsia="Arial" w:hAnsi="Arial" w:cs="Arial"/>
          <w:iCs/>
          <w:color w:val="4986A0"/>
          <w:sz w:val="18"/>
          <w:szCs w:val="18"/>
          <w:vertAlign w:val="superscript"/>
        </w:rPr>
        <w:t>a</w:t>
      </w:r>
      <w:proofErr w:type="spellEnd"/>
      <w:r w:rsidRPr="007C4AC4">
        <w:rPr>
          <w:rFonts w:ascii="Arial" w:eastAsia="Arial" w:hAnsi="Arial" w:cs="Arial"/>
          <w:iCs/>
          <w:color w:val="4986A0"/>
          <w:sz w:val="18"/>
          <w:szCs w:val="18"/>
        </w:rPr>
        <w:t xml:space="preserve"> </w:t>
      </w:r>
      <w:proofErr w:type="gramStart"/>
      <w:r w:rsidRPr="007C4AC4">
        <w:rPr>
          <w:rFonts w:ascii="Arial" w:eastAsia="Arial" w:hAnsi="Arial" w:cs="Arial"/>
          <w:iCs/>
          <w:color w:val="4986A0"/>
          <w:sz w:val="18"/>
          <w:szCs w:val="18"/>
        </w:rPr>
        <w:t>For</w:t>
      </w:r>
      <w:proofErr w:type="gramEnd"/>
      <w:r w:rsidRPr="007C4AC4">
        <w:rPr>
          <w:rFonts w:ascii="Arial" w:eastAsia="Arial" w:hAnsi="Arial" w:cs="Arial"/>
          <w:iCs/>
          <w:color w:val="4986A0"/>
          <w:sz w:val="18"/>
          <w:szCs w:val="18"/>
        </w:rPr>
        <w:t xml:space="preserve"> trips commencing between 7pm </w:t>
      </w:r>
      <w:r w:rsidRPr="007C4AC4">
        <w:rPr>
          <w:rFonts w:ascii="Arial" w:eastAsia="Arial" w:hAnsi="Arial" w:cs="Arial"/>
          <w:iCs/>
          <w:color w:val="4986A0"/>
          <w:sz w:val="18"/>
          <w:szCs w:val="18"/>
          <w:u w:val="single"/>
        </w:rPr>
        <w:t>on evenings prior</w:t>
      </w:r>
      <w:r w:rsidRPr="007C4AC4">
        <w:rPr>
          <w:rFonts w:ascii="Arial" w:eastAsia="Arial" w:hAnsi="Arial" w:cs="Arial"/>
          <w:iCs/>
          <w:color w:val="4986A0"/>
          <w:sz w:val="18"/>
          <w:szCs w:val="18"/>
        </w:rPr>
        <w:t xml:space="preserve"> to all public holidays, through to 6am the following mornings and trips commencing on Christmas Day, Boxing Day, New Year’s Day and from 6pm on New Year’s Eve. </w:t>
      </w:r>
      <w:r w:rsidR="004A42BB" w:rsidRPr="004A42BB">
        <w:rPr>
          <w:rFonts w:ascii="Arial" w:eastAsia="Arial" w:hAnsi="Arial" w:cs="Arial"/>
          <w:iCs/>
          <w:color w:val="4986A0"/>
          <w:sz w:val="18"/>
          <w:szCs w:val="18"/>
          <w:vertAlign w:val="superscript"/>
        </w:rPr>
        <w:t>b</w:t>
      </w:r>
      <w:r w:rsidR="004A42BB">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The</w:t>
      </w:r>
      <w:proofErr w:type="gramEnd"/>
      <w:r w:rsidRPr="007C4AC4">
        <w:rPr>
          <w:rFonts w:ascii="Arial" w:eastAsia="Arial" w:hAnsi="Arial" w:cs="Arial"/>
          <w:iCs/>
          <w:color w:val="4986A0"/>
          <w:sz w:val="18"/>
          <w:szCs w:val="18"/>
        </w:rPr>
        <w:t xml:space="preserve"> ‘late night fee’ does not apply during times that the holiday rate applies.</w:t>
      </w:r>
      <w:r w:rsidR="004A42BB">
        <w:rPr>
          <w:rFonts w:ascii="Arial" w:eastAsia="Arial" w:hAnsi="Arial" w:cs="Arial"/>
          <w:iCs/>
          <w:color w:val="4986A0"/>
          <w:sz w:val="18"/>
          <w:szCs w:val="18"/>
        </w:rPr>
        <w:t xml:space="preserve"> </w:t>
      </w:r>
      <w:r w:rsidR="004A42BB" w:rsidRPr="004A42BB">
        <w:rPr>
          <w:rFonts w:ascii="Arial" w:eastAsia="Arial" w:hAnsi="Arial" w:cs="Arial"/>
          <w:iCs/>
          <w:color w:val="4986A0"/>
          <w:sz w:val="18"/>
          <w:szCs w:val="18"/>
          <w:vertAlign w:val="superscript"/>
        </w:rPr>
        <w:t>c</w:t>
      </w:r>
      <w:r w:rsidR="004A42BB">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As</w:t>
      </w:r>
      <w:proofErr w:type="gramEnd"/>
      <w:r w:rsidRPr="007C4AC4">
        <w:rPr>
          <w:rFonts w:ascii="Arial" w:eastAsia="Arial" w:hAnsi="Arial" w:cs="Arial"/>
          <w:iCs/>
          <w:color w:val="4986A0"/>
          <w:sz w:val="18"/>
          <w:szCs w:val="18"/>
        </w:rPr>
        <w:t xml:space="preserve"> published from time to time in the </w:t>
      </w:r>
      <w:r w:rsidRPr="0046094C">
        <w:rPr>
          <w:rFonts w:ascii="Arial" w:eastAsia="Arial" w:hAnsi="Arial" w:cs="Arial"/>
          <w:i/>
          <w:color w:val="4986A0"/>
          <w:sz w:val="18"/>
          <w:szCs w:val="18"/>
        </w:rPr>
        <w:t>Victorian Government Gazette</w:t>
      </w:r>
      <w:r w:rsidRPr="007C4AC4">
        <w:rPr>
          <w:rFonts w:ascii="Arial" w:eastAsia="Arial" w:hAnsi="Arial" w:cs="Arial"/>
          <w:iCs/>
          <w:color w:val="4986A0"/>
          <w:sz w:val="18"/>
          <w:szCs w:val="18"/>
        </w:rPr>
        <w:t xml:space="preserve"> in accordance with the </w:t>
      </w:r>
      <w:r w:rsidRPr="0046094C">
        <w:rPr>
          <w:rFonts w:ascii="Arial" w:eastAsia="Arial" w:hAnsi="Arial" w:cs="Arial"/>
          <w:i/>
          <w:color w:val="4986A0"/>
          <w:sz w:val="18"/>
          <w:szCs w:val="18"/>
        </w:rPr>
        <w:t>Melbourne City Link Act 1995</w:t>
      </w:r>
      <w:r w:rsidRPr="007C4AC4">
        <w:rPr>
          <w:rFonts w:ascii="Arial" w:eastAsia="Arial" w:hAnsi="Arial" w:cs="Arial"/>
          <w:iCs/>
          <w:color w:val="4986A0"/>
          <w:sz w:val="18"/>
          <w:szCs w:val="18"/>
        </w:rPr>
        <w:t xml:space="preserve"> or the </w:t>
      </w:r>
      <w:r w:rsidRPr="0046094C">
        <w:rPr>
          <w:rFonts w:ascii="Arial" w:eastAsia="Arial" w:hAnsi="Arial" w:cs="Arial"/>
          <w:i/>
          <w:color w:val="4986A0"/>
          <w:sz w:val="18"/>
          <w:szCs w:val="18"/>
        </w:rPr>
        <w:t>EastLink Project Act 2004</w:t>
      </w:r>
      <w:r w:rsidRPr="007C4AC4">
        <w:rPr>
          <w:rFonts w:ascii="Arial" w:eastAsia="Arial" w:hAnsi="Arial" w:cs="Arial"/>
          <w:iCs/>
          <w:color w:val="4986A0"/>
          <w:sz w:val="18"/>
          <w:szCs w:val="18"/>
        </w:rPr>
        <w:t xml:space="preserve"> as applicable.</w:t>
      </w:r>
      <w:r w:rsidR="004A42BB">
        <w:rPr>
          <w:rFonts w:ascii="Arial" w:eastAsia="Arial" w:hAnsi="Arial" w:cs="Arial"/>
          <w:iCs/>
          <w:color w:val="4986A0"/>
          <w:sz w:val="18"/>
          <w:szCs w:val="18"/>
        </w:rPr>
        <w:t xml:space="preserve"> </w:t>
      </w:r>
      <w:r w:rsidRPr="00712857">
        <w:rPr>
          <w:rFonts w:ascii="Arial" w:eastAsia="Arial" w:hAnsi="Arial" w:cs="Arial"/>
          <w:iCs/>
          <w:color w:val="4986A0"/>
          <w:sz w:val="18"/>
          <w:szCs w:val="18"/>
          <w:vertAlign w:val="superscript"/>
        </w:rPr>
        <w:t>d</w:t>
      </w:r>
      <w:r w:rsidR="00712857">
        <w:rPr>
          <w:rFonts w:ascii="Arial" w:eastAsia="Arial" w:hAnsi="Arial" w:cs="Arial"/>
          <w:iCs/>
          <w:color w:val="4986A0"/>
          <w:sz w:val="18"/>
          <w:szCs w:val="18"/>
        </w:rPr>
        <w:t> </w:t>
      </w:r>
      <w:proofErr w:type="gramStart"/>
      <w:r w:rsidRPr="007C4AC4">
        <w:rPr>
          <w:rFonts w:ascii="Arial" w:eastAsia="Arial" w:hAnsi="Arial" w:cs="Arial"/>
          <w:iCs/>
          <w:color w:val="4986A0"/>
          <w:sz w:val="18"/>
          <w:szCs w:val="18"/>
        </w:rPr>
        <w:t>As</w:t>
      </w:r>
      <w:proofErr w:type="gramEnd"/>
      <w:r w:rsidRPr="007C4AC4">
        <w:rPr>
          <w:rFonts w:ascii="Arial" w:eastAsia="Arial" w:hAnsi="Arial" w:cs="Arial"/>
          <w:iCs/>
          <w:color w:val="4986A0"/>
          <w:sz w:val="18"/>
          <w:szCs w:val="18"/>
        </w:rPr>
        <w:t xml:space="preserve"> published by that airport in a daily newspaper generally circulating in Victoria and on that airport’s website.</w:t>
      </w:r>
    </w:p>
    <w:p w14:paraId="60342E90" w14:textId="77777777" w:rsidR="008F1A90" w:rsidRDefault="008F1A90">
      <w:pPr>
        <w:spacing w:before="0" w:line="259" w:lineRule="auto"/>
        <w:sectPr w:rsidR="008F1A90" w:rsidSect="00E81B5C">
          <w:footerReference w:type="default" r:id="rId27"/>
          <w:pgSz w:w="11906" w:h="16838" w:code="9"/>
          <w:pgMar w:top="1134" w:right="1134" w:bottom="1134" w:left="1134" w:header="709" w:footer="692" w:gutter="0"/>
          <w:cols w:space="708"/>
          <w:docGrid w:linePitch="360"/>
        </w:sectPr>
      </w:pPr>
    </w:p>
    <w:p w14:paraId="568B3F6F" w14:textId="296E31BA" w:rsidR="0014385B" w:rsidRDefault="00850A42" w:rsidP="00850A42">
      <w:pPr>
        <w:pStyle w:val="Heading1"/>
      </w:pPr>
      <w:bookmarkStart w:id="75" w:name="_Toc148433378"/>
      <w:r>
        <w:lastRenderedPageBreak/>
        <w:t xml:space="preserve">Appendix C: Taxi </w:t>
      </w:r>
      <w:r w:rsidR="001D65C8">
        <w:t>cost index</w:t>
      </w:r>
      <w:bookmarkEnd w:id="75"/>
    </w:p>
    <w:p w14:paraId="74404520" w14:textId="681FA604" w:rsidR="001D65C8" w:rsidRDefault="001D65C8" w:rsidP="001D65C8">
      <w:pPr>
        <w:pStyle w:val="Figure-Table-BoxHeading"/>
      </w:pPr>
      <w:r>
        <w:t>Table C</w:t>
      </w:r>
      <w:r w:rsidR="00CD0D89">
        <w:t>.</w:t>
      </w:r>
      <w:r>
        <w:t>1</w:t>
      </w:r>
      <w:r>
        <w:tab/>
        <w:t>Conventional tax</w:t>
      </w:r>
      <w:r w:rsidR="00EC0A12">
        <w:t>i</w:t>
      </w:r>
      <w:r w:rsidR="00E22B74">
        <w:t xml:space="preserve"> cost index</w:t>
      </w:r>
    </w:p>
    <w:tbl>
      <w:tblPr>
        <w:tblStyle w:val="TableGrid"/>
        <w:tblW w:w="9072" w:type="dxa"/>
        <w:tblLook w:val="04A0" w:firstRow="1" w:lastRow="0" w:firstColumn="1" w:lastColumn="0" w:noHBand="0" w:noVBand="1"/>
      </w:tblPr>
      <w:tblGrid>
        <w:gridCol w:w="2410"/>
        <w:gridCol w:w="1559"/>
        <w:gridCol w:w="5103"/>
      </w:tblGrid>
      <w:tr w:rsidR="001D65C8" w:rsidRPr="00D70117" w14:paraId="6ED31DB2" w14:textId="77777777" w:rsidTr="004929DD">
        <w:trPr>
          <w:cnfStyle w:val="100000000000" w:firstRow="1" w:lastRow="0" w:firstColumn="0" w:lastColumn="0" w:oddVBand="0" w:evenVBand="0" w:oddHBand="0" w:evenHBand="0" w:firstRowFirstColumn="0" w:firstRowLastColumn="0" w:lastRowFirstColumn="0" w:lastRowLastColumn="0"/>
        </w:trPr>
        <w:tc>
          <w:tcPr>
            <w:tcW w:w="2410" w:type="dxa"/>
          </w:tcPr>
          <w:p w14:paraId="230859A1" w14:textId="77777777" w:rsidR="001D65C8" w:rsidRPr="00564DBE" w:rsidRDefault="001D65C8" w:rsidP="002D79DE">
            <w:pPr>
              <w:pStyle w:val="TableHeading"/>
            </w:pPr>
            <w:r w:rsidRPr="00564DBE">
              <w:t>Cost component</w:t>
            </w:r>
          </w:p>
        </w:tc>
        <w:tc>
          <w:tcPr>
            <w:tcW w:w="1559" w:type="dxa"/>
          </w:tcPr>
          <w:p w14:paraId="12634B6F" w14:textId="77777777" w:rsidR="001D65C8" w:rsidRPr="00564DBE" w:rsidRDefault="001D65C8" w:rsidP="002D79DE">
            <w:pPr>
              <w:pStyle w:val="TableHeading"/>
            </w:pPr>
            <w:r w:rsidRPr="00564DBE">
              <w:t>Cost share</w:t>
            </w:r>
          </w:p>
        </w:tc>
        <w:tc>
          <w:tcPr>
            <w:tcW w:w="5103" w:type="dxa"/>
          </w:tcPr>
          <w:p w14:paraId="0651A1EB" w14:textId="77777777" w:rsidR="001D65C8" w:rsidRDefault="001D65C8" w:rsidP="002D79DE">
            <w:pPr>
              <w:pStyle w:val="TableHeading"/>
            </w:pPr>
            <w:r>
              <w:t>Cost</w:t>
            </w:r>
            <w:r w:rsidRPr="00564DBE">
              <w:t xml:space="preserve"> inflator</w:t>
            </w:r>
          </w:p>
        </w:tc>
      </w:tr>
      <w:tr w:rsidR="001D65C8" w:rsidRPr="00D70117" w14:paraId="1A102AF9" w14:textId="77777777" w:rsidTr="004929DD">
        <w:trPr>
          <w:cnfStyle w:val="000000100000" w:firstRow="0" w:lastRow="0" w:firstColumn="0" w:lastColumn="0" w:oddVBand="0" w:evenVBand="0" w:oddHBand="1" w:evenHBand="0" w:firstRowFirstColumn="0" w:firstRowLastColumn="0" w:lastRowFirstColumn="0" w:lastRowLastColumn="0"/>
        </w:trPr>
        <w:tc>
          <w:tcPr>
            <w:tcW w:w="2410" w:type="dxa"/>
          </w:tcPr>
          <w:p w14:paraId="34271F17" w14:textId="77777777" w:rsidR="001D65C8" w:rsidRPr="00564DBE" w:rsidRDefault="001D65C8" w:rsidP="002D79DE">
            <w:pPr>
              <w:pStyle w:val="TableBody"/>
            </w:pPr>
            <w:r w:rsidRPr="00564DBE">
              <w:t>Fuel</w:t>
            </w:r>
          </w:p>
        </w:tc>
        <w:tc>
          <w:tcPr>
            <w:tcW w:w="1559" w:type="dxa"/>
          </w:tcPr>
          <w:p w14:paraId="5BE07EB5" w14:textId="77777777" w:rsidR="001D65C8" w:rsidRPr="00564DBE" w:rsidRDefault="001D65C8" w:rsidP="002D79DE">
            <w:pPr>
              <w:pStyle w:val="TableBody"/>
            </w:pPr>
            <w:r w:rsidRPr="00564DBE">
              <w:t>6.6%</w:t>
            </w:r>
          </w:p>
        </w:tc>
        <w:tc>
          <w:tcPr>
            <w:tcW w:w="5103" w:type="dxa"/>
          </w:tcPr>
          <w:p w14:paraId="4E69DF49" w14:textId="35CDFEA6" w:rsidR="001D65C8" w:rsidRDefault="001D65C8" w:rsidP="002D79DE">
            <w:pPr>
              <w:pStyle w:val="TableBody"/>
            </w:pPr>
            <w:r w:rsidRPr="00564DBE">
              <w:t xml:space="preserve">FuelTRAC </w:t>
            </w:r>
            <w:r w:rsidR="00F10971">
              <w:t>reported a</w:t>
            </w:r>
            <w:r>
              <w:t>verage price of</w:t>
            </w:r>
            <w:r w:rsidR="00F10971">
              <w:t xml:space="preserve"> Melbourne and regional areas. Consisting of </w:t>
            </w:r>
            <w:r w:rsidR="00CD6E93">
              <w:t>23</w:t>
            </w:r>
            <w:r w:rsidR="00A5672D">
              <w:t> per cent</w:t>
            </w:r>
            <w:r w:rsidR="00CD6E93">
              <w:t xml:space="preserve"> </w:t>
            </w:r>
            <w:r w:rsidRPr="00564DBE">
              <w:t xml:space="preserve">LPG, </w:t>
            </w:r>
            <w:r w:rsidR="00EC0A12">
              <w:t>68</w:t>
            </w:r>
            <w:r w:rsidR="00A5672D">
              <w:t> per cent</w:t>
            </w:r>
            <w:r w:rsidR="00EC0A12">
              <w:t xml:space="preserve"> </w:t>
            </w:r>
            <w:r w:rsidRPr="00564DBE">
              <w:t>unleaded petrol</w:t>
            </w:r>
            <w:r w:rsidR="00EC0A12">
              <w:t xml:space="preserve"> and 9</w:t>
            </w:r>
            <w:r w:rsidR="00A5672D">
              <w:t> per cent</w:t>
            </w:r>
            <w:r w:rsidRPr="00564DBE">
              <w:t xml:space="preserve"> diesel</w:t>
            </w:r>
            <w:r w:rsidR="00EC0A12">
              <w:t>.</w:t>
            </w:r>
          </w:p>
        </w:tc>
      </w:tr>
      <w:tr w:rsidR="001D65C8" w:rsidRPr="00D70117" w14:paraId="72305B20" w14:textId="77777777" w:rsidTr="004929DD">
        <w:trPr>
          <w:cnfStyle w:val="000000010000" w:firstRow="0" w:lastRow="0" w:firstColumn="0" w:lastColumn="0" w:oddVBand="0" w:evenVBand="0" w:oddHBand="0" w:evenHBand="1" w:firstRowFirstColumn="0" w:firstRowLastColumn="0" w:lastRowFirstColumn="0" w:lastRowLastColumn="0"/>
        </w:trPr>
        <w:tc>
          <w:tcPr>
            <w:tcW w:w="2410" w:type="dxa"/>
          </w:tcPr>
          <w:p w14:paraId="794D3F56" w14:textId="77777777" w:rsidR="001D65C8" w:rsidRPr="00564DBE" w:rsidRDefault="001D65C8" w:rsidP="002D79DE">
            <w:pPr>
              <w:pStyle w:val="TableBody"/>
            </w:pPr>
            <w:r w:rsidRPr="00564DBE">
              <w:t>Network (equipment)</w:t>
            </w:r>
          </w:p>
        </w:tc>
        <w:tc>
          <w:tcPr>
            <w:tcW w:w="1559" w:type="dxa"/>
          </w:tcPr>
          <w:p w14:paraId="2383BEE1" w14:textId="77777777" w:rsidR="001D65C8" w:rsidRPr="00564DBE" w:rsidRDefault="001D65C8" w:rsidP="002D79DE">
            <w:pPr>
              <w:pStyle w:val="TableBody"/>
            </w:pPr>
            <w:r w:rsidRPr="00564DBE">
              <w:t>5.7%</w:t>
            </w:r>
          </w:p>
        </w:tc>
        <w:tc>
          <w:tcPr>
            <w:tcW w:w="5103" w:type="dxa"/>
          </w:tcPr>
          <w:p w14:paraId="103E824D" w14:textId="77777777" w:rsidR="001D65C8" w:rsidRDefault="001D65C8" w:rsidP="002D79DE">
            <w:pPr>
              <w:pStyle w:val="TableBody"/>
            </w:pPr>
            <w:r w:rsidRPr="00564DBE">
              <w:t xml:space="preserve">CPI (telecommunications equipment and services component, Melbourne) </w:t>
            </w:r>
          </w:p>
        </w:tc>
      </w:tr>
      <w:tr w:rsidR="001D65C8" w:rsidRPr="00D70117" w14:paraId="38757263" w14:textId="77777777" w:rsidTr="004929DD">
        <w:trPr>
          <w:cnfStyle w:val="000000100000" w:firstRow="0" w:lastRow="0" w:firstColumn="0" w:lastColumn="0" w:oddVBand="0" w:evenVBand="0" w:oddHBand="1" w:evenHBand="0" w:firstRowFirstColumn="0" w:firstRowLastColumn="0" w:lastRowFirstColumn="0" w:lastRowLastColumn="0"/>
        </w:trPr>
        <w:tc>
          <w:tcPr>
            <w:tcW w:w="2410" w:type="dxa"/>
          </w:tcPr>
          <w:p w14:paraId="4424D7E8" w14:textId="77777777" w:rsidR="001D65C8" w:rsidRPr="00564DBE" w:rsidRDefault="001D65C8" w:rsidP="002D79DE">
            <w:pPr>
              <w:pStyle w:val="TableBody"/>
            </w:pPr>
            <w:r w:rsidRPr="00564DBE">
              <w:t>Network (labour)</w:t>
            </w:r>
          </w:p>
        </w:tc>
        <w:tc>
          <w:tcPr>
            <w:tcW w:w="1559" w:type="dxa"/>
          </w:tcPr>
          <w:p w14:paraId="547BADBB" w14:textId="77777777" w:rsidR="001D65C8" w:rsidRPr="00564DBE" w:rsidRDefault="001D65C8" w:rsidP="002D79DE">
            <w:pPr>
              <w:pStyle w:val="TableBody"/>
            </w:pPr>
            <w:r w:rsidRPr="00564DBE">
              <w:t>5.7%</w:t>
            </w:r>
          </w:p>
        </w:tc>
        <w:tc>
          <w:tcPr>
            <w:tcW w:w="5103" w:type="dxa"/>
          </w:tcPr>
          <w:p w14:paraId="27C4BF98" w14:textId="77777777" w:rsidR="001D65C8" w:rsidRDefault="001D65C8" w:rsidP="002D79DE">
            <w:pPr>
              <w:pStyle w:val="TableBody"/>
            </w:pPr>
            <w:r w:rsidRPr="00564DBE">
              <w:t>WPI (Victoria)</w:t>
            </w:r>
          </w:p>
        </w:tc>
      </w:tr>
      <w:tr w:rsidR="001D65C8" w:rsidRPr="00D70117" w14:paraId="19AAE7A7" w14:textId="77777777" w:rsidTr="004929DD">
        <w:trPr>
          <w:cnfStyle w:val="000000010000" w:firstRow="0" w:lastRow="0" w:firstColumn="0" w:lastColumn="0" w:oddVBand="0" w:evenVBand="0" w:oddHBand="0" w:evenHBand="1" w:firstRowFirstColumn="0" w:firstRowLastColumn="0" w:lastRowFirstColumn="0" w:lastRowLastColumn="0"/>
        </w:trPr>
        <w:tc>
          <w:tcPr>
            <w:tcW w:w="2410" w:type="dxa"/>
          </w:tcPr>
          <w:p w14:paraId="0CB209EC" w14:textId="77777777" w:rsidR="001D65C8" w:rsidRPr="00564DBE" w:rsidRDefault="001D65C8" w:rsidP="002D79DE">
            <w:pPr>
              <w:pStyle w:val="TableBody"/>
            </w:pPr>
            <w:r w:rsidRPr="00564DBE">
              <w:t>Insurance</w:t>
            </w:r>
          </w:p>
        </w:tc>
        <w:tc>
          <w:tcPr>
            <w:tcW w:w="1559" w:type="dxa"/>
          </w:tcPr>
          <w:p w14:paraId="253360ED" w14:textId="77777777" w:rsidR="001D65C8" w:rsidRPr="00564DBE" w:rsidRDefault="001D65C8" w:rsidP="002D79DE">
            <w:pPr>
              <w:pStyle w:val="TableBody"/>
            </w:pPr>
            <w:r w:rsidRPr="00564DBE">
              <w:t>3.6%</w:t>
            </w:r>
          </w:p>
        </w:tc>
        <w:tc>
          <w:tcPr>
            <w:tcW w:w="5103" w:type="dxa"/>
          </w:tcPr>
          <w:p w14:paraId="3F1A34CC" w14:textId="77777777" w:rsidR="001D65C8" w:rsidRDefault="001D65C8" w:rsidP="002D79DE">
            <w:pPr>
              <w:pStyle w:val="TableBody"/>
            </w:pPr>
            <w:r w:rsidRPr="00564DBE">
              <w:t>Insurance Council of Australia comprehensive car insurance index</w:t>
            </w:r>
          </w:p>
        </w:tc>
      </w:tr>
      <w:tr w:rsidR="001D65C8" w:rsidRPr="00D70117" w14:paraId="495CC0D8" w14:textId="77777777" w:rsidTr="004929DD">
        <w:trPr>
          <w:cnfStyle w:val="000000100000" w:firstRow="0" w:lastRow="0" w:firstColumn="0" w:lastColumn="0" w:oddVBand="0" w:evenVBand="0" w:oddHBand="1" w:evenHBand="0" w:firstRowFirstColumn="0" w:firstRowLastColumn="0" w:lastRowFirstColumn="0" w:lastRowLastColumn="0"/>
        </w:trPr>
        <w:tc>
          <w:tcPr>
            <w:tcW w:w="2410" w:type="dxa"/>
          </w:tcPr>
          <w:p w14:paraId="4C85B8A0" w14:textId="77777777" w:rsidR="001D65C8" w:rsidRPr="00564DBE" w:rsidRDefault="001D65C8" w:rsidP="002D79DE">
            <w:pPr>
              <w:pStyle w:val="TableBody"/>
            </w:pPr>
            <w:r w:rsidRPr="00564DBE">
              <w:t>Vehicle</w:t>
            </w:r>
          </w:p>
        </w:tc>
        <w:tc>
          <w:tcPr>
            <w:tcW w:w="1559" w:type="dxa"/>
          </w:tcPr>
          <w:p w14:paraId="4108AC7D" w14:textId="77777777" w:rsidR="001D65C8" w:rsidRPr="00564DBE" w:rsidRDefault="001D65C8" w:rsidP="002D79DE">
            <w:pPr>
              <w:pStyle w:val="TableBody"/>
            </w:pPr>
            <w:r w:rsidRPr="00564DBE">
              <w:t>7.6%</w:t>
            </w:r>
          </w:p>
        </w:tc>
        <w:tc>
          <w:tcPr>
            <w:tcW w:w="5103" w:type="dxa"/>
          </w:tcPr>
          <w:p w14:paraId="04CE1380" w14:textId="77777777" w:rsidR="001D65C8" w:rsidRDefault="001D65C8" w:rsidP="002D79DE">
            <w:pPr>
              <w:pStyle w:val="TableBody"/>
            </w:pPr>
            <w:r w:rsidRPr="00564DBE">
              <w:t>Imputed on CPI (motor vehicle, Melbourne) and Reserve Bank of Australia lending rates for small businesses</w:t>
            </w:r>
          </w:p>
        </w:tc>
      </w:tr>
      <w:tr w:rsidR="001D65C8" w:rsidRPr="00D70117" w14:paraId="08A172B9" w14:textId="77777777" w:rsidTr="004929DD">
        <w:trPr>
          <w:cnfStyle w:val="000000010000" w:firstRow="0" w:lastRow="0" w:firstColumn="0" w:lastColumn="0" w:oddVBand="0" w:evenVBand="0" w:oddHBand="0" w:evenHBand="1" w:firstRowFirstColumn="0" w:firstRowLastColumn="0" w:lastRowFirstColumn="0" w:lastRowLastColumn="0"/>
        </w:trPr>
        <w:tc>
          <w:tcPr>
            <w:tcW w:w="2410" w:type="dxa"/>
          </w:tcPr>
          <w:p w14:paraId="065EF803" w14:textId="77777777" w:rsidR="001D65C8" w:rsidRPr="00564DBE" w:rsidRDefault="001D65C8" w:rsidP="002D79DE">
            <w:pPr>
              <w:pStyle w:val="TableBody"/>
            </w:pPr>
            <w:r w:rsidRPr="00564DBE">
              <w:t>Registration</w:t>
            </w:r>
          </w:p>
        </w:tc>
        <w:tc>
          <w:tcPr>
            <w:tcW w:w="1559" w:type="dxa"/>
          </w:tcPr>
          <w:p w14:paraId="045D40E4" w14:textId="77777777" w:rsidR="001D65C8" w:rsidRPr="00564DBE" w:rsidRDefault="001D65C8" w:rsidP="002D79DE">
            <w:pPr>
              <w:pStyle w:val="TableBody"/>
            </w:pPr>
            <w:r w:rsidRPr="00564DBE">
              <w:t>1.2%</w:t>
            </w:r>
          </w:p>
        </w:tc>
        <w:tc>
          <w:tcPr>
            <w:tcW w:w="5103" w:type="dxa"/>
          </w:tcPr>
          <w:p w14:paraId="088F2E58" w14:textId="77777777" w:rsidR="001D65C8" w:rsidRDefault="001D65C8" w:rsidP="002D79DE">
            <w:pPr>
              <w:pStyle w:val="TableBody"/>
            </w:pPr>
            <w:r w:rsidRPr="00564DBE">
              <w:t>Imputed based on actual Transport Accident Charge</w:t>
            </w:r>
          </w:p>
        </w:tc>
      </w:tr>
      <w:tr w:rsidR="001D65C8" w:rsidRPr="00D70117" w14:paraId="22C60097" w14:textId="77777777" w:rsidTr="004929DD">
        <w:trPr>
          <w:cnfStyle w:val="000000100000" w:firstRow="0" w:lastRow="0" w:firstColumn="0" w:lastColumn="0" w:oddVBand="0" w:evenVBand="0" w:oddHBand="1" w:evenHBand="0" w:firstRowFirstColumn="0" w:firstRowLastColumn="0" w:lastRowFirstColumn="0" w:lastRowLastColumn="0"/>
        </w:trPr>
        <w:tc>
          <w:tcPr>
            <w:tcW w:w="2410" w:type="dxa"/>
          </w:tcPr>
          <w:p w14:paraId="34BACE97" w14:textId="77777777" w:rsidR="001D65C8" w:rsidRPr="00564DBE" w:rsidRDefault="001D65C8" w:rsidP="002D79DE">
            <w:pPr>
              <w:pStyle w:val="TableBody"/>
            </w:pPr>
            <w:r w:rsidRPr="00564DBE">
              <w:t>Repairs and maintenance</w:t>
            </w:r>
          </w:p>
        </w:tc>
        <w:tc>
          <w:tcPr>
            <w:tcW w:w="1559" w:type="dxa"/>
          </w:tcPr>
          <w:p w14:paraId="7D945736" w14:textId="77777777" w:rsidR="001D65C8" w:rsidRPr="00564DBE" w:rsidRDefault="001D65C8" w:rsidP="002D79DE">
            <w:pPr>
              <w:pStyle w:val="TableBody"/>
            </w:pPr>
            <w:r w:rsidRPr="00564DBE">
              <w:t>6.9%</w:t>
            </w:r>
          </w:p>
        </w:tc>
        <w:tc>
          <w:tcPr>
            <w:tcW w:w="5103" w:type="dxa"/>
          </w:tcPr>
          <w:p w14:paraId="3EE2A316" w14:textId="77777777" w:rsidR="001D65C8" w:rsidRDefault="001D65C8" w:rsidP="002D79DE">
            <w:pPr>
              <w:pStyle w:val="TableBody"/>
            </w:pPr>
            <w:r w:rsidRPr="00564DBE">
              <w:t>CPI (maintenance and repairs of motor vehicles, Melbourne)</w:t>
            </w:r>
          </w:p>
        </w:tc>
      </w:tr>
      <w:tr w:rsidR="001D65C8" w:rsidRPr="00D70117" w14:paraId="6AF08CEF" w14:textId="77777777" w:rsidTr="004929DD">
        <w:trPr>
          <w:cnfStyle w:val="000000010000" w:firstRow="0" w:lastRow="0" w:firstColumn="0" w:lastColumn="0" w:oddVBand="0" w:evenVBand="0" w:oddHBand="0" w:evenHBand="1" w:firstRowFirstColumn="0" w:firstRowLastColumn="0" w:lastRowFirstColumn="0" w:lastRowLastColumn="0"/>
        </w:trPr>
        <w:tc>
          <w:tcPr>
            <w:tcW w:w="2410" w:type="dxa"/>
          </w:tcPr>
          <w:p w14:paraId="21116903" w14:textId="77777777" w:rsidR="001D65C8" w:rsidRPr="00564DBE" w:rsidRDefault="001D65C8" w:rsidP="002D79DE">
            <w:pPr>
              <w:pStyle w:val="TableBody"/>
            </w:pPr>
            <w:r w:rsidRPr="00564DBE">
              <w:t>Administration</w:t>
            </w:r>
          </w:p>
        </w:tc>
        <w:tc>
          <w:tcPr>
            <w:tcW w:w="1559" w:type="dxa"/>
          </w:tcPr>
          <w:p w14:paraId="33F66EDC" w14:textId="77777777" w:rsidR="001D65C8" w:rsidRPr="00564DBE" w:rsidRDefault="001D65C8" w:rsidP="002D79DE">
            <w:pPr>
              <w:pStyle w:val="TableBody"/>
            </w:pPr>
            <w:r w:rsidRPr="00564DBE">
              <w:t>7.7%</w:t>
            </w:r>
          </w:p>
        </w:tc>
        <w:tc>
          <w:tcPr>
            <w:tcW w:w="5103" w:type="dxa"/>
          </w:tcPr>
          <w:p w14:paraId="1007AE70" w14:textId="77777777" w:rsidR="001D65C8" w:rsidRDefault="001D65C8" w:rsidP="002D79DE">
            <w:pPr>
              <w:pStyle w:val="TableBody"/>
            </w:pPr>
            <w:r w:rsidRPr="00564DBE">
              <w:t>WPI (Victoria), CPI (all groups, Melbourne)</w:t>
            </w:r>
          </w:p>
        </w:tc>
      </w:tr>
      <w:tr w:rsidR="001D65C8" w:rsidRPr="00D70117" w14:paraId="199F0DCD" w14:textId="77777777" w:rsidTr="004929DD">
        <w:trPr>
          <w:cnfStyle w:val="000000100000" w:firstRow="0" w:lastRow="0" w:firstColumn="0" w:lastColumn="0" w:oddVBand="0" w:evenVBand="0" w:oddHBand="1" w:evenHBand="0" w:firstRowFirstColumn="0" w:firstRowLastColumn="0" w:lastRowFirstColumn="0" w:lastRowLastColumn="0"/>
        </w:trPr>
        <w:tc>
          <w:tcPr>
            <w:tcW w:w="2410" w:type="dxa"/>
          </w:tcPr>
          <w:p w14:paraId="295B95E0" w14:textId="77777777" w:rsidR="001D65C8" w:rsidRPr="00564DBE" w:rsidRDefault="001D65C8" w:rsidP="002D79DE">
            <w:pPr>
              <w:pStyle w:val="TableBody"/>
            </w:pPr>
            <w:r w:rsidRPr="00564DBE">
              <w:t>Driver labour</w:t>
            </w:r>
          </w:p>
        </w:tc>
        <w:tc>
          <w:tcPr>
            <w:tcW w:w="1559" w:type="dxa"/>
          </w:tcPr>
          <w:p w14:paraId="39917F54" w14:textId="77777777" w:rsidR="001D65C8" w:rsidRPr="00564DBE" w:rsidRDefault="001D65C8" w:rsidP="002D79DE">
            <w:pPr>
              <w:pStyle w:val="TableBody"/>
            </w:pPr>
            <w:r w:rsidRPr="00564DBE">
              <w:t>55%</w:t>
            </w:r>
          </w:p>
        </w:tc>
        <w:tc>
          <w:tcPr>
            <w:tcW w:w="5103" w:type="dxa"/>
          </w:tcPr>
          <w:p w14:paraId="1DCE81E6" w14:textId="77777777" w:rsidR="001D65C8" w:rsidRDefault="001D65C8" w:rsidP="002D79DE">
            <w:pPr>
              <w:pStyle w:val="TableBody"/>
            </w:pPr>
            <w:r w:rsidRPr="00564DBE">
              <w:t>Fair Work Commission’s annual wage review</w:t>
            </w:r>
          </w:p>
        </w:tc>
      </w:tr>
    </w:tbl>
    <w:p w14:paraId="0D231F4A" w14:textId="77777777" w:rsidR="004929DD" w:rsidRDefault="004929DD" w:rsidP="00EC0A12">
      <w:pPr>
        <w:pStyle w:val="Figure-Table-BoxHeading"/>
      </w:pPr>
    </w:p>
    <w:p w14:paraId="59B89986" w14:textId="77777777" w:rsidR="004929DD" w:rsidRDefault="004929DD">
      <w:pPr>
        <w:spacing w:before="0" w:line="259" w:lineRule="auto"/>
        <w:rPr>
          <w:rFonts w:asciiTheme="majorHAnsi" w:eastAsiaTheme="majorEastAsia" w:hAnsiTheme="majorHAnsi" w:cstheme="majorBidi"/>
          <w:b/>
          <w:color w:val="4986A0" w:themeColor="text2"/>
          <w:szCs w:val="24"/>
          <w:lang w:val="en-US"/>
        </w:rPr>
      </w:pPr>
      <w:r>
        <w:br w:type="page"/>
      </w:r>
    </w:p>
    <w:p w14:paraId="73A88BE8" w14:textId="2130DFCA" w:rsidR="00EC0A12" w:rsidRDefault="00EC0A12" w:rsidP="00EC0A12">
      <w:pPr>
        <w:pStyle w:val="Figure-Table-BoxHeading"/>
      </w:pPr>
      <w:r>
        <w:lastRenderedPageBreak/>
        <w:t>Table C</w:t>
      </w:r>
      <w:r w:rsidR="00CD0D89">
        <w:t>.</w:t>
      </w:r>
      <w:r>
        <w:t>2</w:t>
      </w:r>
      <w:r>
        <w:tab/>
        <w:t>Wheelchair accessible taxi</w:t>
      </w:r>
      <w:r w:rsidR="00E22B74">
        <w:t xml:space="preserve"> cost index</w:t>
      </w:r>
    </w:p>
    <w:tbl>
      <w:tblPr>
        <w:tblStyle w:val="TableGrid"/>
        <w:tblW w:w="9072" w:type="dxa"/>
        <w:tblLook w:val="04A0" w:firstRow="1" w:lastRow="0" w:firstColumn="1" w:lastColumn="0" w:noHBand="0" w:noVBand="1"/>
      </w:tblPr>
      <w:tblGrid>
        <w:gridCol w:w="2410"/>
        <w:gridCol w:w="1559"/>
        <w:gridCol w:w="5103"/>
      </w:tblGrid>
      <w:tr w:rsidR="004929DD" w:rsidRPr="00D70117" w14:paraId="1666CB7E" w14:textId="77777777" w:rsidTr="002D79DE">
        <w:trPr>
          <w:cnfStyle w:val="100000000000" w:firstRow="1" w:lastRow="0" w:firstColumn="0" w:lastColumn="0" w:oddVBand="0" w:evenVBand="0" w:oddHBand="0" w:evenHBand="0" w:firstRowFirstColumn="0" w:firstRowLastColumn="0" w:lastRowFirstColumn="0" w:lastRowLastColumn="0"/>
        </w:trPr>
        <w:tc>
          <w:tcPr>
            <w:tcW w:w="2410" w:type="dxa"/>
          </w:tcPr>
          <w:p w14:paraId="3D5AE44A" w14:textId="77777777" w:rsidR="004929DD" w:rsidRPr="00564DBE" w:rsidRDefault="004929DD" w:rsidP="002D79DE">
            <w:pPr>
              <w:pStyle w:val="TableHeading"/>
            </w:pPr>
            <w:r w:rsidRPr="00564DBE">
              <w:t>Cost component</w:t>
            </w:r>
          </w:p>
        </w:tc>
        <w:tc>
          <w:tcPr>
            <w:tcW w:w="1559" w:type="dxa"/>
          </w:tcPr>
          <w:p w14:paraId="62F4C5D8" w14:textId="77777777" w:rsidR="004929DD" w:rsidRPr="00564DBE" w:rsidRDefault="004929DD" w:rsidP="002D79DE">
            <w:pPr>
              <w:pStyle w:val="TableHeading"/>
            </w:pPr>
            <w:r w:rsidRPr="00564DBE">
              <w:t>Cost share</w:t>
            </w:r>
          </w:p>
        </w:tc>
        <w:tc>
          <w:tcPr>
            <w:tcW w:w="5103" w:type="dxa"/>
          </w:tcPr>
          <w:p w14:paraId="6356DCF0" w14:textId="77777777" w:rsidR="004929DD" w:rsidRDefault="004929DD" w:rsidP="002D79DE">
            <w:pPr>
              <w:pStyle w:val="TableHeading"/>
            </w:pPr>
            <w:r>
              <w:t>Cost</w:t>
            </w:r>
            <w:r w:rsidRPr="00564DBE">
              <w:t xml:space="preserve"> inflator</w:t>
            </w:r>
          </w:p>
        </w:tc>
      </w:tr>
      <w:tr w:rsidR="004929DD" w:rsidRPr="00D70117" w14:paraId="0BE4DC22" w14:textId="77777777" w:rsidTr="002D79DE">
        <w:trPr>
          <w:cnfStyle w:val="000000100000" w:firstRow="0" w:lastRow="0" w:firstColumn="0" w:lastColumn="0" w:oddVBand="0" w:evenVBand="0" w:oddHBand="1" w:evenHBand="0" w:firstRowFirstColumn="0" w:firstRowLastColumn="0" w:lastRowFirstColumn="0" w:lastRowLastColumn="0"/>
        </w:trPr>
        <w:tc>
          <w:tcPr>
            <w:tcW w:w="2410" w:type="dxa"/>
          </w:tcPr>
          <w:p w14:paraId="00994E42" w14:textId="77777777" w:rsidR="004929DD" w:rsidRPr="00564DBE" w:rsidRDefault="004929DD" w:rsidP="002D79DE">
            <w:pPr>
              <w:pStyle w:val="TableBody"/>
            </w:pPr>
            <w:r w:rsidRPr="00564DBE">
              <w:t>Fuel</w:t>
            </w:r>
          </w:p>
        </w:tc>
        <w:tc>
          <w:tcPr>
            <w:tcW w:w="1559" w:type="dxa"/>
          </w:tcPr>
          <w:p w14:paraId="145BF745" w14:textId="79FA1235" w:rsidR="004929DD" w:rsidRPr="00564DBE" w:rsidRDefault="00392C9C" w:rsidP="002D79DE">
            <w:pPr>
              <w:pStyle w:val="TableBody"/>
            </w:pPr>
            <w:r>
              <w:t>7</w:t>
            </w:r>
            <w:r w:rsidR="004929DD" w:rsidRPr="00564DBE">
              <w:t>.</w:t>
            </w:r>
            <w:r>
              <w:t>0</w:t>
            </w:r>
            <w:r w:rsidR="004929DD" w:rsidRPr="00564DBE">
              <w:t>%</w:t>
            </w:r>
          </w:p>
        </w:tc>
        <w:tc>
          <w:tcPr>
            <w:tcW w:w="5103" w:type="dxa"/>
          </w:tcPr>
          <w:p w14:paraId="2729DBE0" w14:textId="14939B59" w:rsidR="004929DD" w:rsidRDefault="004929DD" w:rsidP="002D79DE">
            <w:pPr>
              <w:pStyle w:val="TableBody"/>
            </w:pPr>
            <w:r w:rsidRPr="00564DBE">
              <w:t xml:space="preserve">FuelTRAC </w:t>
            </w:r>
            <w:r>
              <w:t>reported average price of Melbourne and regional areas. Consisting of 2</w:t>
            </w:r>
            <w:r w:rsidR="005016EC">
              <w:t>0</w:t>
            </w:r>
            <w:r w:rsidR="00A5672D">
              <w:t> per cent</w:t>
            </w:r>
            <w:r>
              <w:t xml:space="preserve"> </w:t>
            </w:r>
            <w:r w:rsidRPr="00564DBE">
              <w:t xml:space="preserve">LPG, </w:t>
            </w:r>
            <w:r w:rsidR="005016EC">
              <w:t>36</w:t>
            </w:r>
            <w:r w:rsidR="00A5672D">
              <w:t> per cent</w:t>
            </w:r>
            <w:r>
              <w:t xml:space="preserve"> </w:t>
            </w:r>
            <w:r w:rsidRPr="00564DBE">
              <w:t>unleaded petrol</w:t>
            </w:r>
            <w:r>
              <w:t xml:space="preserve"> and </w:t>
            </w:r>
            <w:r w:rsidR="005016EC">
              <w:t>44</w:t>
            </w:r>
            <w:r w:rsidR="00A5672D">
              <w:t> per cent</w:t>
            </w:r>
            <w:r w:rsidRPr="00564DBE">
              <w:t xml:space="preserve"> diesel</w:t>
            </w:r>
            <w:r>
              <w:t>.</w:t>
            </w:r>
          </w:p>
        </w:tc>
      </w:tr>
      <w:tr w:rsidR="004929DD" w:rsidRPr="00D70117" w14:paraId="1C0D8004" w14:textId="77777777" w:rsidTr="002D79DE">
        <w:trPr>
          <w:cnfStyle w:val="000000010000" w:firstRow="0" w:lastRow="0" w:firstColumn="0" w:lastColumn="0" w:oddVBand="0" w:evenVBand="0" w:oddHBand="0" w:evenHBand="1" w:firstRowFirstColumn="0" w:firstRowLastColumn="0" w:lastRowFirstColumn="0" w:lastRowLastColumn="0"/>
        </w:trPr>
        <w:tc>
          <w:tcPr>
            <w:tcW w:w="2410" w:type="dxa"/>
          </w:tcPr>
          <w:p w14:paraId="65DDC593" w14:textId="77777777" w:rsidR="004929DD" w:rsidRPr="00564DBE" w:rsidRDefault="004929DD" w:rsidP="002D79DE">
            <w:pPr>
              <w:pStyle w:val="TableBody"/>
            </w:pPr>
            <w:r w:rsidRPr="00564DBE">
              <w:t>Network (equipment)</w:t>
            </w:r>
          </w:p>
        </w:tc>
        <w:tc>
          <w:tcPr>
            <w:tcW w:w="1559" w:type="dxa"/>
          </w:tcPr>
          <w:p w14:paraId="07F189F6" w14:textId="753E2940" w:rsidR="004929DD" w:rsidRPr="00564DBE" w:rsidRDefault="00392C9C" w:rsidP="002D79DE">
            <w:pPr>
              <w:pStyle w:val="TableBody"/>
            </w:pPr>
            <w:r>
              <w:t>4</w:t>
            </w:r>
            <w:r w:rsidR="004929DD" w:rsidRPr="00564DBE">
              <w:t>.</w:t>
            </w:r>
            <w:r>
              <w:t>3</w:t>
            </w:r>
            <w:r w:rsidR="004929DD" w:rsidRPr="00564DBE">
              <w:t>%</w:t>
            </w:r>
          </w:p>
        </w:tc>
        <w:tc>
          <w:tcPr>
            <w:tcW w:w="5103" w:type="dxa"/>
          </w:tcPr>
          <w:p w14:paraId="58464D3A" w14:textId="77777777" w:rsidR="004929DD" w:rsidRDefault="004929DD" w:rsidP="002D79DE">
            <w:pPr>
              <w:pStyle w:val="TableBody"/>
            </w:pPr>
            <w:r w:rsidRPr="00564DBE">
              <w:t xml:space="preserve">CPI (telecommunications equipment and services component, Melbourne) </w:t>
            </w:r>
          </w:p>
        </w:tc>
      </w:tr>
      <w:tr w:rsidR="004929DD" w:rsidRPr="00D70117" w14:paraId="6863FFBB" w14:textId="77777777" w:rsidTr="002D79DE">
        <w:trPr>
          <w:cnfStyle w:val="000000100000" w:firstRow="0" w:lastRow="0" w:firstColumn="0" w:lastColumn="0" w:oddVBand="0" w:evenVBand="0" w:oddHBand="1" w:evenHBand="0" w:firstRowFirstColumn="0" w:firstRowLastColumn="0" w:lastRowFirstColumn="0" w:lastRowLastColumn="0"/>
        </w:trPr>
        <w:tc>
          <w:tcPr>
            <w:tcW w:w="2410" w:type="dxa"/>
          </w:tcPr>
          <w:p w14:paraId="4CF4DA0A" w14:textId="77777777" w:rsidR="004929DD" w:rsidRPr="00564DBE" w:rsidRDefault="004929DD" w:rsidP="002D79DE">
            <w:pPr>
              <w:pStyle w:val="TableBody"/>
            </w:pPr>
            <w:r w:rsidRPr="00564DBE">
              <w:t>Network (labour)</w:t>
            </w:r>
          </w:p>
        </w:tc>
        <w:tc>
          <w:tcPr>
            <w:tcW w:w="1559" w:type="dxa"/>
          </w:tcPr>
          <w:p w14:paraId="685DA180" w14:textId="5ADF7D2F" w:rsidR="004929DD" w:rsidRPr="00564DBE" w:rsidRDefault="00392C9C" w:rsidP="002D79DE">
            <w:pPr>
              <w:pStyle w:val="TableBody"/>
            </w:pPr>
            <w:r>
              <w:t>4</w:t>
            </w:r>
            <w:r w:rsidR="004929DD" w:rsidRPr="00564DBE">
              <w:t>.</w:t>
            </w:r>
            <w:r>
              <w:t>3</w:t>
            </w:r>
            <w:r w:rsidR="004929DD" w:rsidRPr="00564DBE">
              <w:t>%</w:t>
            </w:r>
          </w:p>
        </w:tc>
        <w:tc>
          <w:tcPr>
            <w:tcW w:w="5103" w:type="dxa"/>
          </w:tcPr>
          <w:p w14:paraId="6B098C9B" w14:textId="77777777" w:rsidR="004929DD" w:rsidRDefault="004929DD" w:rsidP="002D79DE">
            <w:pPr>
              <w:pStyle w:val="TableBody"/>
            </w:pPr>
            <w:r w:rsidRPr="00564DBE">
              <w:t>WPI (Victoria)</w:t>
            </w:r>
          </w:p>
        </w:tc>
      </w:tr>
      <w:tr w:rsidR="004929DD" w:rsidRPr="00D70117" w14:paraId="1D45F4AD" w14:textId="77777777" w:rsidTr="002D79DE">
        <w:trPr>
          <w:cnfStyle w:val="000000010000" w:firstRow="0" w:lastRow="0" w:firstColumn="0" w:lastColumn="0" w:oddVBand="0" w:evenVBand="0" w:oddHBand="0" w:evenHBand="1" w:firstRowFirstColumn="0" w:firstRowLastColumn="0" w:lastRowFirstColumn="0" w:lastRowLastColumn="0"/>
        </w:trPr>
        <w:tc>
          <w:tcPr>
            <w:tcW w:w="2410" w:type="dxa"/>
          </w:tcPr>
          <w:p w14:paraId="5F5698A6" w14:textId="77777777" w:rsidR="004929DD" w:rsidRPr="00564DBE" w:rsidRDefault="004929DD" w:rsidP="002D79DE">
            <w:pPr>
              <w:pStyle w:val="TableBody"/>
            </w:pPr>
            <w:r w:rsidRPr="00564DBE">
              <w:t>Insurance</w:t>
            </w:r>
          </w:p>
        </w:tc>
        <w:tc>
          <w:tcPr>
            <w:tcW w:w="1559" w:type="dxa"/>
          </w:tcPr>
          <w:p w14:paraId="182B11D7" w14:textId="00D01E03" w:rsidR="004929DD" w:rsidRPr="00564DBE" w:rsidRDefault="004929DD" w:rsidP="002D79DE">
            <w:pPr>
              <w:pStyle w:val="TableBody"/>
            </w:pPr>
            <w:r w:rsidRPr="00564DBE">
              <w:t>3.</w:t>
            </w:r>
            <w:r w:rsidR="00392C9C">
              <w:t>9</w:t>
            </w:r>
            <w:r w:rsidRPr="00564DBE">
              <w:t>%</w:t>
            </w:r>
          </w:p>
        </w:tc>
        <w:tc>
          <w:tcPr>
            <w:tcW w:w="5103" w:type="dxa"/>
          </w:tcPr>
          <w:p w14:paraId="47583069" w14:textId="77777777" w:rsidR="004929DD" w:rsidRDefault="004929DD" w:rsidP="002D79DE">
            <w:pPr>
              <w:pStyle w:val="TableBody"/>
            </w:pPr>
            <w:r w:rsidRPr="00564DBE">
              <w:t>Insurance Council of Australia comprehensive car insurance index</w:t>
            </w:r>
          </w:p>
        </w:tc>
      </w:tr>
      <w:tr w:rsidR="004929DD" w:rsidRPr="00D70117" w14:paraId="15453F32" w14:textId="77777777" w:rsidTr="002D79DE">
        <w:trPr>
          <w:cnfStyle w:val="000000100000" w:firstRow="0" w:lastRow="0" w:firstColumn="0" w:lastColumn="0" w:oddVBand="0" w:evenVBand="0" w:oddHBand="1" w:evenHBand="0" w:firstRowFirstColumn="0" w:firstRowLastColumn="0" w:lastRowFirstColumn="0" w:lastRowLastColumn="0"/>
        </w:trPr>
        <w:tc>
          <w:tcPr>
            <w:tcW w:w="2410" w:type="dxa"/>
          </w:tcPr>
          <w:p w14:paraId="1FC86418" w14:textId="77777777" w:rsidR="004929DD" w:rsidRPr="00564DBE" w:rsidRDefault="004929DD" w:rsidP="002D79DE">
            <w:pPr>
              <w:pStyle w:val="TableBody"/>
            </w:pPr>
            <w:r w:rsidRPr="00564DBE">
              <w:t>Vehicle</w:t>
            </w:r>
          </w:p>
        </w:tc>
        <w:tc>
          <w:tcPr>
            <w:tcW w:w="1559" w:type="dxa"/>
          </w:tcPr>
          <w:p w14:paraId="65B4BEFD" w14:textId="0CDC8AAB" w:rsidR="004929DD" w:rsidRPr="00564DBE" w:rsidRDefault="00392C9C" w:rsidP="002D79DE">
            <w:pPr>
              <w:pStyle w:val="TableBody"/>
            </w:pPr>
            <w:r>
              <w:t>11</w:t>
            </w:r>
            <w:r w:rsidR="004929DD" w:rsidRPr="00564DBE">
              <w:t>.</w:t>
            </w:r>
            <w:r>
              <w:t>5</w:t>
            </w:r>
            <w:r w:rsidR="004929DD" w:rsidRPr="00564DBE">
              <w:t>%</w:t>
            </w:r>
          </w:p>
        </w:tc>
        <w:tc>
          <w:tcPr>
            <w:tcW w:w="5103" w:type="dxa"/>
          </w:tcPr>
          <w:p w14:paraId="620FDAAE" w14:textId="77777777" w:rsidR="004929DD" w:rsidRDefault="004929DD" w:rsidP="002D79DE">
            <w:pPr>
              <w:pStyle w:val="TableBody"/>
            </w:pPr>
            <w:r w:rsidRPr="00564DBE">
              <w:t>Imputed on CPI (motor vehicle, Melbourne) and Reserve Bank of Australia lending rates for small businesses</w:t>
            </w:r>
          </w:p>
        </w:tc>
      </w:tr>
      <w:tr w:rsidR="004929DD" w:rsidRPr="00D70117" w14:paraId="08E9CC9D" w14:textId="77777777" w:rsidTr="002D79DE">
        <w:trPr>
          <w:cnfStyle w:val="000000010000" w:firstRow="0" w:lastRow="0" w:firstColumn="0" w:lastColumn="0" w:oddVBand="0" w:evenVBand="0" w:oddHBand="0" w:evenHBand="1" w:firstRowFirstColumn="0" w:firstRowLastColumn="0" w:lastRowFirstColumn="0" w:lastRowLastColumn="0"/>
        </w:trPr>
        <w:tc>
          <w:tcPr>
            <w:tcW w:w="2410" w:type="dxa"/>
          </w:tcPr>
          <w:p w14:paraId="1C962FEB" w14:textId="77777777" w:rsidR="004929DD" w:rsidRPr="00564DBE" w:rsidRDefault="004929DD" w:rsidP="002D79DE">
            <w:pPr>
              <w:pStyle w:val="TableBody"/>
            </w:pPr>
            <w:r w:rsidRPr="00564DBE">
              <w:t>Registration</w:t>
            </w:r>
          </w:p>
        </w:tc>
        <w:tc>
          <w:tcPr>
            <w:tcW w:w="1559" w:type="dxa"/>
          </w:tcPr>
          <w:p w14:paraId="48B8FA2D" w14:textId="08442D94" w:rsidR="004929DD" w:rsidRPr="00564DBE" w:rsidRDefault="004929DD" w:rsidP="002D79DE">
            <w:pPr>
              <w:pStyle w:val="TableBody"/>
            </w:pPr>
            <w:r w:rsidRPr="00564DBE">
              <w:t>1.</w:t>
            </w:r>
            <w:r w:rsidR="00392C9C">
              <w:t>1</w:t>
            </w:r>
            <w:r w:rsidRPr="00564DBE">
              <w:t>%</w:t>
            </w:r>
          </w:p>
        </w:tc>
        <w:tc>
          <w:tcPr>
            <w:tcW w:w="5103" w:type="dxa"/>
          </w:tcPr>
          <w:p w14:paraId="7B6265D6" w14:textId="77777777" w:rsidR="004929DD" w:rsidRDefault="004929DD" w:rsidP="002D79DE">
            <w:pPr>
              <w:pStyle w:val="TableBody"/>
            </w:pPr>
            <w:r w:rsidRPr="00564DBE">
              <w:t>Imputed based on actual Transport Accident Charge</w:t>
            </w:r>
          </w:p>
        </w:tc>
      </w:tr>
      <w:tr w:rsidR="004929DD" w:rsidRPr="00D70117" w14:paraId="52E85ADE" w14:textId="77777777" w:rsidTr="002D79DE">
        <w:trPr>
          <w:cnfStyle w:val="000000100000" w:firstRow="0" w:lastRow="0" w:firstColumn="0" w:lastColumn="0" w:oddVBand="0" w:evenVBand="0" w:oddHBand="1" w:evenHBand="0" w:firstRowFirstColumn="0" w:firstRowLastColumn="0" w:lastRowFirstColumn="0" w:lastRowLastColumn="0"/>
        </w:trPr>
        <w:tc>
          <w:tcPr>
            <w:tcW w:w="2410" w:type="dxa"/>
          </w:tcPr>
          <w:p w14:paraId="0C5B5EE8" w14:textId="77777777" w:rsidR="004929DD" w:rsidRPr="00564DBE" w:rsidRDefault="004929DD" w:rsidP="002D79DE">
            <w:pPr>
              <w:pStyle w:val="TableBody"/>
            </w:pPr>
            <w:r w:rsidRPr="00564DBE">
              <w:t>Repairs and maintenance</w:t>
            </w:r>
          </w:p>
        </w:tc>
        <w:tc>
          <w:tcPr>
            <w:tcW w:w="1559" w:type="dxa"/>
          </w:tcPr>
          <w:p w14:paraId="2854A2C7" w14:textId="0A35CAB5" w:rsidR="004929DD" w:rsidRPr="00564DBE" w:rsidRDefault="004929DD" w:rsidP="002D79DE">
            <w:pPr>
              <w:pStyle w:val="TableBody"/>
            </w:pPr>
            <w:r w:rsidRPr="00564DBE">
              <w:t>6.</w:t>
            </w:r>
            <w:r w:rsidR="00392C9C">
              <w:t>3</w:t>
            </w:r>
            <w:r w:rsidRPr="00564DBE">
              <w:t>%</w:t>
            </w:r>
          </w:p>
        </w:tc>
        <w:tc>
          <w:tcPr>
            <w:tcW w:w="5103" w:type="dxa"/>
          </w:tcPr>
          <w:p w14:paraId="51F5847C" w14:textId="77777777" w:rsidR="004929DD" w:rsidRDefault="004929DD" w:rsidP="002D79DE">
            <w:pPr>
              <w:pStyle w:val="TableBody"/>
            </w:pPr>
            <w:r w:rsidRPr="00564DBE">
              <w:t>CPI (maintenance and repairs of motor vehicles, Melbourne)</w:t>
            </w:r>
          </w:p>
        </w:tc>
      </w:tr>
      <w:tr w:rsidR="004929DD" w:rsidRPr="00D70117" w14:paraId="207C5A8B" w14:textId="77777777" w:rsidTr="002D79DE">
        <w:trPr>
          <w:cnfStyle w:val="000000010000" w:firstRow="0" w:lastRow="0" w:firstColumn="0" w:lastColumn="0" w:oddVBand="0" w:evenVBand="0" w:oddHBand="0" w:evenHBand="1" w:firstRowFirstColumn="0" w:firstRowLastColumn="0" w:lastRowFirstColumn="0" w:lastRowLastColumn="0"/>
        </w:trPr>
        <w:tc>
          <w:tcPr>
            <w:tcW w:w="2410" w:type="dxa"/>
          </w:tcPr>
          <w:p w14:paraId="36F2DDFA" w14:textId="77777777" w:rsidR="004929DD" w:rsidRPr="00564DBE" w:rsidRDefault="004929DD" w:rsidP="002D79DE">
            <w:pPr>
              <w:pStyle w:val="TableBody"/>
            </w:pPr>
            <w:r w:rsidRPr="00564DBE">
              <w:t>Administration</w:t>
            </w:r>
          </w:p>
        </w:tc>
        <w:tc>
          <w:tcPr>
            <w:tcW w:w="1559" w:type="dxa"/>
          </w:tcPr>
          <w:p w14:paraId="1E3A85CE" w14:textId="273576E1" w:rsidR="004929DD" w:rsidRPr="00564DBE" w:rsidRDefault="00392C9C" w:rsidP="002D79DE">
            <w:pPr>
              <w:pStyle w:val="TableBody"/>
            </w:pPr>
            <w:r>
              <w:t>6</w:t>
            </w:r>
            <w:r w:rsidR="004929DD" w:rsidRPr="00564DBE">
              <w:t>.</w:t>
            </w:r>
            <w:r>
              <w:t>5</w:t>
            </w:r>
            <w:r w:rsidR="004929DD" w:rsidRPr="00564DBE">
              <w:t>%</w:t>
            </w:r>
          </w:p>
        </w:tc>
        <w:tc>
          <w:tcPr>
            <w:tcW w:w="5103" w:type="dxa"/>
          </w:tcPr>
          <w:p w14:paraId="462BFC56" w14:textId="77777777" w:rsidR="004929DD" w:rsidRDefault="004929DD" w:rsidP="002D79DE">
            <w:pPr>
              <w:pStyle w:val="TableBody"/>
            </w:pPr>
            <w:r w:rsidRPr="00564DBE">
              <w:t>WPI (Victoria), CPI (all groups, Melbourne)</w:t>
            </w:r>
          </w:p>
        </w:tc>
      </w:tr>
      <w:tr w:rsidR="004929DD" w:rsidRPr="00D70117" w14:paraId="54B770D1" w14:textId="77777777" w:rsidTr="002D79DE">
        <w:trPr>
          <w:cnfStyle w:val="000000100000" w:firstRow="0" w:lastRow="0" w:firstColumn="0" w:lastColumn="0" w:oddVBand="0" w:evenVBand="0" w:oddHBand="1" w:evenHBand="0" w:firstRowFirstColumn="0" w:firstRowLastColumn="0" w:lastRowFirstColumn="0" w:lastRowLastColumn="0"/>
        </w:trPr>
        <w:tc>
          <w:tcPr>
            <w:tcW w:w="2410" w:type="dxa"/>
          </w:tcPr>
          <w:p w14:paraId="5DAA3E2B" w14:textId="77777777" w:rsidR="004929DD" w:rsidRPr="00564DBE" w:rsidRDefault="004929DD" w:rsidP="002D79DE">
            <w:pPr>
              <w:pStyle w:val="TableBody"/>
            </w:pPr>
            <w:r w:rsidRPr="00564DBE">
              <w:t>Driver labour</w:t>
            </w:r>
          </w:p>
        </w:tc>
        <w:tc>
          <w:tcPr>
            <w:tcW w:w="1559" w:type="dxa"/>
          </w:tcPr>
          <w:p w14:paraId="671FCFE2" w14:textId="77777777" w:rsidR="004929DD" w:rsidRPr="00564DBE" w:rsidRDefault="004929DD" w:rsidP="002D79DE">
            <w:pPr>
              <w:pStyle w:val="TableBody"/>
            </w:pPr>
            <w:r w:rsidRPr="00564DBE">
              <w:t>55%</w:t>
            </w:r>
          </w:p>
        </w:tc>
        <w:tc>
          <w:tcPr>
            <w:tcW w:w="5103" w:type="dxa"/>
          </w:tcPr>
          <w:p w14:paraId="4A771041" w14:textId="77777777" w:rsidR="004929DD" w:rsidRDefault="004929DD" w:rsidP="002D79DE">
            <w:pPr>
              <w:pStyle w:val="TableBody"/>
            </w:pPr>
            <w:r w:rsidRPr="00564DBE">
              <w:t>Fair Work Commission’s annual wage review</w:t>
            </w:r>
          </w:p>
        </w:tc>
      </w:tr>
    </w:tbl>
    <w:p w14:paraId="63F4B8C2" w14:textId="77777777" w:rsidR="001D65C8" w:rsidRPr="001D65C8" w:rsidRDefault="001D65C8" w:rsidP="001D65C8">
      <w:pPr>
        <w:pStyle w:val="Figure-Table-BoxHeading"/>
      </w:pPr>
    </w:p>
    <w:sectPr w:rsidR="001D65C8" w:rsidRPr="001D65C8" w:rsidSect="00E81B5C">
      <w:footerReference w:type="default" r:id="rId28"/>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E036" w14:textId="77777777" w:rsidR="00A34677" w:rsidRDefault="00A34677" w:rsidP="00AE03FA">
      <w:pPr>
        <w:spacing w:after="0"/>
      </w:pPr>
      <w:r>
        <w:separator/>
      </w:r>
    </w:p>
    <w:p w14:paraId="30E75461" w14:textId="77777777" w:rsidR="00A34677" w:rsidRDefault="00A34677"/>
  </w:endnote>
  <w:endnote w:type="continuationSeparator" w:id="0">
    <w:p w14:paraId="5E9C0479" w14:textId="77777777" w:rsidR="00A34677" w:rsidRDefault="00A34677" w:rsidP="00AE03FA">
      <w:pPr>
        <w:spacing w:after="0"/>
      </w:pPr>
      <w:r>
        <w:continuationSeparator/>
      </w:r>
    </w:p>
    <w:p w14:paraId="226472CC" w14:textId="77777777" w:rsidR="00A34677" w:rsidRDefault="00A34677"/>
  </w:endnote>
  <w:endnote w:type="continuationNotice" w:id="1">
    <w:p w14:paraId="1D6E7BAD" w14:textId="77777777" w:rsidR="00A34677" w:rsidRDefault="00A346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28CC" w14:textId="77777777" w:rsidR="003A30F3" w:rsidRDefault="003A30F3" w:rsidP="00A236AB">
    <w:pPr>
      <w:pStyle w:val="FooterSpace"/>
      <w:ind w:right="707"/>
    </w:pPr>
    <w:r>
      <w:t>Preface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6DBBDC09"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0A6E56A"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5AF53EE0" w14:textId="7E8E259C"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E8FBB1693C42492B8F8EF5D86554E641"/>
        </w:placeholder>
        <w:dataBinding w:prefixMappings="xmlns:ns0='http://purl.org/dc/elements/1.1/' xmlns:ns1='http://schemas.openxmlformats.org/package/2006/metadata/core-properties' " w:xpath="/ns1:coreProperties[1]/ns0:title[1]" w:storeItemID="{6C3C8BC8-F283-45AE-878A-BAB7291924A1}"/>
        <w:text/>
      </w:sdtPr>
      <w:sdtEndPr/>
      <w:sdtContent>
        <w:r w:rsidR="00481D2E">
          <w:rPr>
            <w:b/>
          </w:rPr>
          <w:t>Taxi reviews 2024: unbooked taxi fares and non-cash payment surcharge</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8641" w14:textId="77777777" w:rsidR="003A30F3" w:rsidRPr="00707B2F" w:rsidRDefault="003A30F3" w:rsidP="00A236AB">
    <w:pPr>
      <w:pStyle w:val="FooterSpace"/>
      <w:ind w:right="707"/>
    </w:pPr>
    <w:r>
      <w:t>Contents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05E2B4B9"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E1B3C3C"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iii</w:t>
          </w:r>
          <w:r w:rsidRPr="009E15D6">
            <w:rPr>
              <w:rStyle w:val="PageNumber"/>
            </w:rPr>
            <w:fldChar w:fldCharType="end"/>
          </w:r>
        </w:p>
      </w:tc>
    </w:tr>
  </w:tbl>
  <w:p w14:paraId="653BD866" w14:textId="7FC6C4ED" w:rsidR="003A30F3" w:rsidRPr="002C2ADF" w:rsidRDefault="003A30F3" w:rsidP="00A236AB">
    <w:pPr>
      <w:pStyle w:val="Footer"/>
      <w:ind w:right="283"/>
      <w:rPr>
        <w:b/>
      </w:rPr>
    </w:pPr>
    <w:r>
      <w:t xml:space="preserve">Essential Services Commission </w:t>
    </w:r>
    <w:sdt>
      <w:sdtPr>
        <w:rPr>
          <w:b/>
        </w:rPr>
        <w:alias w:val="Title"/>
        <w:tag w:val=""/>
        <w:id w:val="233746944"/>
        <w:placeholder>
          <w:docPart w:val="58A60AF94E8F418CA9D9039AA656CE76"/>
        </w:placeholder>
        <w:dataBinding w:prefixMappings="xmlns:ns0='http://purl.org/dc/elements/1.1/' xmlns:ns1='http://schemas.openxmlformats.org/package/2006/metadata/core-properties' " w:xpath="/ns1:coreProperties[1]/ns0:title[1]" w:storeItemID="{6C3C8BC8-F283-45AE-878A-BAB7291924A1}"/>
        <w:text/>
      </w:sdtPr>
      <w:sdtEndPr/>
      <w:sdtContent>
        <w:r w:rsidR="00481D2E">
          <w:rPr>
            <w:b/>
          </w:rPr>
          <w:t>Taxi reviews 2024: unbooked taxi fares and non-cash payment surcharge</w:t>
        </w:r>
      </w:sdtContent>
    </w:sdt>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3403" w14:textId="77777777" w:rsidR="003A30F3" w:rsidRDefault="003A30F3" w:rsidP="00A236AB">
    <w:pPr>
      <w:pStyle w:val="FooterSpace"/>
      <w:ind w:right="707"/>
    </w:pPr>
    <w:r>
      <w:t>Summary</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736BDA6"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3524BE8"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iv</w:t>
          </w:r>
          <w:r w:rsidRPr="009E15D6">
            <w:rPr>
              <w:rStyle w:val="PageNumber"/>
            </w:rPr>
            <w:fldChar w:fldCharType="end"/>
          </w:r>
        </w:p>
      </w:tc>
    </w:tr>
  </w:tbl>
  <w:p w14:paraId="6A167640" w14:textId="61F50FE3" w:rsidR="003A30F3" w:rsidRPr="002C2ADF" w:rsidRDefault="003A30F3" w:rsidP="00A236AB">
    <w:pPr>
      <w:pStyle w:val="Footer"/>
      <w:ind w:right="707"/>
      <w:rPr>
        <w:b/>
      </w:rPr>
    </w:pPr>
    <w:r>
      <w:t xml:space="preserve">Essential Services Commission </w:t>
    </w:r>
    <w:sdt>
      <w:sdtPr>
        <w:rPr>
          <w:b/>
        </w:rPr>
        <w:alias w:val="Title"/>
        <w:tag w:val=""/>
        <w:id w:val="215248778"/>
        <w:placeholder>
          <w:docPart w:val="BB9BE0546DA0479FA14CF498A9260DD0"/>
        </w:placeholder>
        <w:dataBinding w:prefixMappings="xmlns:ns0='http://purl.org/dc/elements/1.1/' xmlns:ns1='http://schemas.openxmlformats.org/package/2006/metadata/core-properties' " w:xpath="/ns1:coreProperties[1]/ns0:title[1]" w:storeItemID="{6C3C8BC8-F283-45AE-878A-BAB7291924A1}"/>
        <w:text/>
      </w:sdtPr>
      <w:sdtEndPr/>
      <w:sdtContent>
        <w:r w:rsidR="00481D2E">
          <w:rPr>
            <w:b/>
          </w:rPr>
          <w:t>Taxi reviews 2024: unbooked taxi fares and non-cash payment surcharge</w:t>
        </w:r>
      </w:sdtContent>
    </w:sdt>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F0FA" w14:textId="11931299" w:rsidR="00E81B5C" w:rsidRDefault="00E81B5C" w:rsidP="00A236AB">
    <w:pPr>
      <w:pStyle w:val="FooterSpace"/>
      <w:ind w:right="707"/>
    </w:pPr>
    <w:r>
      <w:t>Introduction</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81B5C" w14:paraId="6DCFEC74"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586574C" w14:textId="77777777" w:rsidR="00E81B5C" w:rsidRPr="009E15D6" w:rsidRDefault="00E81B5C"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5CAF10C8" w14:textId="77777777" w:rsidR="00E81B5C" w:rsidRPr="002C2ADF" w:rsidRDefault="00E81B5C" w:rsidP="00A236AB">
    <w:pPr>
      <w:pStyle w:val="Footer"/>
      <w:ind w:right="707"/>
      <w:rPr>
        <w:b/>
      </w:rPr>
    </w:pPr>
    <w:r>
      <w:t xml:space="preserve">Essential Services Commission </w:t>
    </w:r>
    <w:sdt>
      <w:sdtPr>
        <w:rPr>
          <w:b/>
        </w:rPr>
        <w:alias w:val="Title"/>
        <w:tag w:val=""/>
        <w:id w:val="-819719826"/>
        <w:placeholder>
          <w:docPart w:val="A5C9828B47E042F3B3DF4D72C930ED07"/>
        </w:placeholder>
        <w:dataBinding w:prefixMappings="xmlns:ns0='http://purl.org/dc/elements/1.1/' xmlns:ns1='http://schemas.openxmlformats.org/package/2006/metadata/core-properties' " w:xpath="/ns1:coreProperties[1]/ns0:title[1]" w:storeItemID="{6C3C8BC8-F283-45AE-878A-BAB7291924A1}"/>
        <w:text/>
      </w:sdtPr>
      <w:sdtEndPr/>
      <w:sdtContent>
        <w:r>
          <w:rPr>
            <w:b/>
          </w:rPr>
          <w:t>Taxi reviews 2024: unbooked taxi fares and non-cash payment surcharge</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E81F" w14:textId="77777777" w:rsidR="00E81B5C" w:rsidRDefault="00E81B5C" w:rsidP="00A236AB">
    <w:pPr>
      <w:pStyle w:val="FooterSpace"/>
      <w:ind w:right="707"/>
    </w:pPr>
    <w:r>
      <w:t xml:space="preserve">We seek views on </w:t>
    </w:r>
    <w:r w:rsidR="00C20C79">
      <w:t xml:space="preserve">maximum unbooked taxi </w:t>
    </w:r>
    <w:proofErr w:type="gramStart"/>
    <w:r w:rsidR="00C20C79">
      <w:t>fares</w:t>
    </w:r>
    <w:proofErr w:type="gramEnd"/>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81B5C" w14:paraId="3C61F182"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0D9BE30" w14:textId="77777777" w:rsidR="00E81B5C" w:rsidRPr="009E15D6" w:rsidRDefault="00E81B5C"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147AD94E" w14:textId="77777777" w:rsidR="00E81B5C" w:rsidRPr="002C2ADF" w:rsidRDefault="00E81B5C" w:rsidP="00A236AB">
    <w:pPr>
      <w:pStyle w:val="Footer"/>
      <w:ind w:right="707"/>
      <w:rPr>
        <w:b/>
      </w:rPr>
    </w:pPr>
    <w:r>
      <w:t xml:space="preserve">Essential Services Commission </w:t>
    </w:r>
    <w:sdt>
      <w:sdtPr>
        <w:rPr>
          <w:b/>
        </w:rPr>
        <w:alias w:val="Title"/>
        <w:tag w:val=""/>
        <w:id w:val="1901945052"/>
        <w:placeholder>
          <w:docPart w:val="97600D4904D5496B85610AE43DB4E98D"/>
        </w:placeholder>
        <w:dataBinding w:prefixMappings="xmlns:ns0='http://purl.org/dc/elements/1.1/' xmlns:ns1='http://schemas.openxmlformats.org/package/2006/metadata/core-properties' " w:xpath="/ns1:coreProperties[1]/ns0:title[1]" w:storeItemID="{6C3C8BC8-F283-45AE-878A-BAB7291924A1}"/>
        <w:text/>
      </w:sdtPr>
      <w:sdtEndPr/>
      <w:sdtContent>
        <w:r>
          <w:rPr>
            <w:b/>
          </w:rPr>
          <w:t>Taxi reviews 2024: unbooked taxi fares and non-cash payment surcharge</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E336" w14:textId="77777777" w:rsidR="00E81B5C" w:rsidRDefault="00E81B5C" w:rsidP="00A236AB">
    <w:pPr>
      <w:pStyle w:val="FooterSpace"/>
      <w:ind w:right="707"/>
    </w:pPr>
    <w:r>
      <w:t xml:space="preserve">We seek views on non-cash payment </w:t>
    </w:r>
    <w:proofErr w:type="gramStart"/>
    <w:r>
      <w:t>surcharges</w:t>
    </w:r>
    <w:proofErr w:type="gramEnd"/>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81B5C" w14:paraId="39FC2CB1"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18C99FB" w14:textId="77777777" w:rsidR="00E81B5C" w:rsidRPr="009E15D6" w:rsidRDefault="00E81B5C"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1A4B5B8B" w14:textId="77777777" w:rsidR="00E81B5C" w:rsidRPr="002C2ADF" w:rsidRDefault="00E81B5C" w:rsidP="00A236AB">
    <w:pPr>
      <w:pStyle w:val="Footer"/>
      <w:ind w:right="707"/>
      <w:rPr>
        <w:b/>
      </w:rPr>
    </w:pPr>
    <w:r>
      <w:t xml:space="preserve">Essential Services Commission </w:t>
    </w:r>
    <w:sdt>
      <w:sdtPr>
        <w:rPr>
          <w:b/>
        </w:rPr>
        <w:alias w:val="Title"/>
        <w:tag w:val=""/>
        <w:id w:val="-2119824450"/>
        <w:placeholder>
          <w:docPart w:val="97600D4904D5496B85610AE43DB4E98D"/>
        </w:placeholder>
        <w:dataBinding w:prefixMappings="xmlns:ns0='http://purl.org/dc/elements/1.1/' xmlns:ns1='http://schemas.openxmlformats.org/package/2006/metadata/core-properties' " w:xpath="/ns1:coreProperties[1]/ns0:title[1]" w:storeItemID="{6C3C8BC8-F283-45AE-878A-BAB7291924A1}"/>
        <w:text/>
      </w:sdtPr>
      <w:sdtEndPr/>
      <w:sdtContent>
        <w:r>
          <w:rPr>
            <w:b/>
          </w:rPr>
          <w:t>Taxi reviews 2024: unbooked taxi fares and non-cash payment surcharge</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8812" w14:textId="4E915508" w:rsidR="00E81B5C" w:rsidRDefault="00E81B5C" w:rsidP="00A236AB">
    <w:pPr>
      <w:pStyle w:val="FooterSpace"/>
      <w:ind w:right="707"/>
    </w:pPr>
    <w:r>
      <w:t>Appendix A: Legislative framework</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81B5C" w14:paraId="70ABE856"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3C32696" w14:textId="77777777" w:rsidR="00E81B5C" w:rsidRPr="009E15D6" w:rsidRDefault="00E81B5C"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0DFD0CA7" w14:textId="77777777" w:rsidR="00E81B5C" w:rsidRPr="002C2ADF" w:rsidRDefault="00E81B5C" w:rsidP="00A236AB">
    <w:pPr>
      <w:pStyle w:val="Footer"/>
      <w:ind w:right="707"/>
      <w:rPr>
        <w:b/>
      </w:rPr>
    </w:pPr>
    <w:r>
      <w:t xml:space="preserve">Essential Services Commission </w:t>
    </w:r>
    <w:sdt>
      <w:sdtPr>
        <w:rPr>
          <w:b/>
        </w:rPr>
        <w:alias w:val="Title"/>
        <w:tag w:val=""/>
        <w:id w:val="-2082971209"/>
        <w:placeholder>
          <w:docPart w:val="4FFC4F4A07944176987608D78387DA24"/>
        </w:placeholder>
        <w:dataBinding w:prefixMappings="xmlns:ns0='http://purl.org/dc/elements/1.1/' xmlns:ns1='http://schemas.openxmlformats.org/package/2006/metadata/core-properties' " w:xpath="/ns1:coreProperties[1]/ns0:title[1]" w:storeItemID="{6C3C8BC8-F283-45AE-878A-BAB7291924A1}"/>
        <w:text/>
      </w:sdtPr>
      <w:sdtEndPr/>
      <w:sdtContent>
        <w:r>
          <w:rPr>
            <w:b/>
          </w:rPr>
          <w:t>Taxi reviews 2024: unbooked taxi fares and non-cash payment surcharge</w:t>
        </w:r>
      </w:sdtContent>
    </w:sdt>
    <w:r>
      <w:rPr>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64AE" w14:textId="77777777" w:rsidR="00E81B5C" w:rsidRDefault="00E81B5C" w:rsidP="00A236AB">
    <w:pPr>
      <w:pStyle w:val="FooterSpace"/>
      <w:ind w:right="707"/>
    </w:pPr>
    <w:r>
      <w:t>Appendix B: Maximum unbooked taxi fares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81B5C" w14:paraId="70B74FCE"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5B44B3E" w14:textId="77777777" w:rsidR="00E81B5C" w:rsidRPr="009E15D6" w:rsidRDefault="00E81B5C"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437D7A36" w14:textId="77777777" w:rsidR="00E81B5C" w:rsidRPr="002C2ADF" w:rsidRDefault="00E81B5C" w:rsidP="00A236AB">
    <w:pPr>
      <w:pStyle w:val="Footer"/>
      <w:ind w:right="707"/>
      <w:rPr>
        <w:b/>
      </w:rPr>
    </w:pPr>
    <w:r>
      <w:t xml:space="preserve">Essential Services Commission </w:t>
    </w:r>
    <w:sdt>
      <w:sdtPr>
        <w:rPr>
          <w:b/>
        </w:rPr>
        <w:alias w:val="Title"/>
        <w:tag w:val=""/>
        <w:id w:val="-2079664003"/>
        <w:placeholder>
          <w:docPart w:val="A30E85DF6488492385A58EAF5DD6513E"/>
        </w:placeholder>
        <w:dataBinding w:prefixMappings="xmlns:ns0='http://purl.org/dc/elements/1.1/' xmlns:ns1='http://schemas.openxmlformats.org/package/2006/metadata/core-properties' " w:xpath="/ns1:coreProperties[1]/ns0:title[1]" w:storeItemID="{6C3C8BC8-F283-45AE-878A-BAB7291924A1}"/>
        <w:text/>
      </w:sdtPr>
      <w:sdtEndPr/>
      <w:sdtContent>
        <w:r>
          <w:rPr>
            <w:b/>
          </w:rPr>
          <w:t>Taxi reviews 2024: unbooked taxi fares and non-cash payment surcharge</w:t>
        </w:r>
      </w:sdtContent>
    </w:sdt>
    <w:r>
      <w:rPr>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4216" w14:textId="13E99BCC" w:rsidR="00E81B5C" w:rsidRDefault="00E81B5C" w:rsidP="00A236AB">
    <w:pPr>
      <w:pStyle w:val="FooterSpace"/>
      <w:ind w:right="707"/>
    </w:pPr>
    <w:r>
      <w:t xml:space="preserve">Appendix </w:t>
    </w:r>
    <w:r w:rsidR="008F1A90">
      <w:t>C</w:t>
    </w:r>
    <w:r>
      <w:t xml:space="preserve">: </w:t>
    </w:r>
    <w:r w:rsidR="008F1A90">
      <w:t>Taxi cost index</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81B5C" w14:paraId="0790031A"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75D0B87" w14:textId="77777777" w:rsidR="00E81B5C" w:rsidRPr="009E15D6" w:rsidRDefault="00E81B5C"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3AD3B3BE" w14:textId="77777777" w:rsidR="00E81B5C" w:rsidRPr="002C2ADF" w:rsidRDefault="00E81B5C" w:rsidP="00A236AB">
    <w:pPr>
      <w:pStyle w:val="Footer"/>
      <w:ind w:right="707"/>
      <w:rPr>
        <w:b/>
      </w:rPr>
    </w:pPr>
    <w:r>
      <w:t xml:space="preserve">Essential Services Commission </w:t>
    </w:r>
    <w:sdt>
      <w:sdtPr>
        <w:rPr>
          <w:b/>
        </w:rPr>
        <w:alias w:val="Title"/>
        <w:tag w:val=""/>
        <w:id w:val="43802281"/>
        <w:placeholder>
          <w:docPart w:val="A30E85DF6488492385A58EAF5DD6513E"/>
        </w:placeholder>
        <w:dataBinding w:prefixMappings="xmlns:ns0='http://purl.org/dc/elements/1.1/' xmlns:ns1='http://schemas.openxmlformats.org/package/2006/metadata/core-properties' " w:xpath="/ns1:coreProperties[1]/ns0:title[1]" w:storeItemID="{6C3C8BC8-F283-45AE-878A-BAB7291924A1}"/>
        <w:text/>
      </w:sdtPr>
      <w:sdtEndPr/>
      <w:sdtContent>
        <w:r>
          <w:rPr>
            <w:b/>
          </w:rPr>
          <w:t>Taxi reviews 2024: unbooked taxi fares and non-cash payment surcharge</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92CA" w14:textId="77777777" w:rsidR="00A34677" w:rsidRPr="00CF33F6" w:rsidRDefault="00A34677" w:rsidP="00AE03FA">
      <w:pPr>
        <w:spacing w:after="0"/>
        <w:rPr>
          <w:color w:val="75787B" w:themeColor="background2"/>
        </w:rPr>
      </w:pPr>
      <w:bookmarkStart w:id="0" w:name="_Hlk480978878"/>
      <w:bookmarkEnd w:id="0"/>
      <w:r w:rsidRPr="00CF33F6">
        <w:rPr>
          <w:color w:val="75787B" w:themeColor="background2"/>
        </w:rPr>
        <w:separator/>
      </w:r>
    </w:p>
  </w:footnote>
  <w:footnote w:type="continuationSeparator" w:id="0">
    <w:p w14:paraId="038670FA" w14:textId="77777777" w:rsidR="00A34677" w:rsidRDefault="00A34677" w:rsidP="00AE03FA">
      <w:pPr>
        <w:spacing w:after="0"/>
      </w:pPr>
      <w:r>
        <w:continuationSeparator/>
      </w:r>
    </w:p>
    <w:p w14:paraId="57A8C803" w14:textId="77777777" w:rsidR="00A34677" w:rsidRDefault="00A34677"/>
  </w:footnote>
  <w:footnote w:type="continuationNotice" w:id="1">
    <w:p w14:paraId="1229213A" w14:textId="77777777" w:rsidR="00A34677" w:rsidRDefault="00A34677">
      <w:pPr>
        <w:spacing w:before="0" w:after="0" w:line="240" w:lineRule="auto"/>
      </w:pPr>
    </w:p>
  </w:footnote>
  <w:footnote w:id="2">
    <w:p w14:paraId="4A822C72" w14:textId="0C2BB028" w:rsidR="00B20646" w:rsidRDefault="00B20646" w:rsidP="00E83C49">
      <w:pPr>
        <w:pStyle w:val="FootnoteText"/>
        <w:ind w:left="284" w:hanging="284"/>
      </w:pPr>
      <w:r>
        <w:rPr>
          <w:rStyle w:val="FootnoteReference"/>
        </w:rPr>
        <w:footnoteRef/>
      </w:r>
      <w:r>
        <w:t xml:space="preserve"> </w:t>
      </w:r>
      <w:r w:rsidR="00E83C49">
        <w:tab/>
      </w:r>
      <w:r>
        <w:t>The legislative framework is set out in Appendix A</w:t>
      </w:r>
      <w:r w:rsidR="00000C83">
        <w:t>.</w:t>
      </w:r>
    </w:p>
  </w:footnote>
  <w:footnote w:id="3">
    <w:p w14:paraId="0666F083" w14:textId="4092F377" w:rsidR="00690B4B" w:rsidRDefault="00690B4B" w:rsidP="00E83C49">
      <w:pPr>
        <w:pStyle w:val="FootnoteText"/>
        <w:ind w:left="284" w:hanging="284"/>
      </w:pPr>
      <w:r>
        <w:rPr>
          <w:rStyle w:val="FootnoteReference"/>
        </w:rPr>
        <w:footnoteRef/>
      </w:r>
      <w:r>
        <w:t xml:space="preserve"> </w:t>
      </w:r>
      <w:r w:rsidR="00E83C49">
        <w:tab/>
      </w:r>
      <w:r w:rsidR="00700A9C">
        <w:t>This includes data sourced from taxi networks</w:t>
      </w:r>
      <w:r w:rsidR="00664D9F">
        <w:t xml:space="preserve"> (</w:t>
      </w:r>
      <w:r w:rsidR="00613EF0">
        <w:t xml:space="preserve">taxi companies that </w:t>
      </w:r>
      <w:r w:rsidR="00010DB6">
        <w:t>run booking services and may also own vehicle</w:t>
      </w:r>
      <w:r w:rsidR="00792418">
        <w:t xml:space="preserve"> fleets</w:t>
      </w:r>
      <w:r w:rsidR="00010DB6">
        <w:t xml:space="preserve"> to hire out to taxi drivers)</w:t>
      </w:r>
      <w:r w:rsidR="00700A9C">
        <w:t xml:space="preserve"> </w:t>
      </w:r>
      <w:r w:rsidR="00A67F13">
        <w:t xml:space="preserve">and Safe Transport Victoria </w:t>
      </w:r>
      <w:r w:rsidR="00700A9C">
        <w:t xml:space="preserve">about </w:t>
      </w:r>
      <w:r w:rsidR="0034449C">
        <w:t>taxi</w:t>
      </w:r>
      <w:r w:rsidR="00700A9C">
        <w:t xml:space="preserve"> supply, demand </w:t>
      </w:r>
      <w:r w:rsidR="00A67F13">
        <w:t xml:space="preserve">and service quality, and cost data sourced from non-cash payment processors. </w:t>
      </w:r>
    </w:p>
  </w:footnote>
  <w:footnote w:id="4">
    <w:p w14:paraId="6F135773" w14:textId="6092F445" w:rsidR="008F1101" w:rsidRDefault="008F1101" w:rsidP="00E83C49">
      <w:pPr>
        <w:pStyle w:val="FootnoteText"/>
        <w:ind w:left="284" w:hanging="284"/>
      </w:pPr>
      <w:r>
        <w:rPr>
          <w:rStyle w:val="FootnoteReference"/>
        </w:rPr>
        <w:footnoteRef/>
      </w:r>
      <w:r>
        <w:t xml:space="preserve"> </w:t>
      </w:r>
      <w:r w:rsidR="00E83C49">
        <w:tab/>
      </w:r>
      <w:r w:rsidRPr="004E6073">
        <w:rPr>
          <w:i/>
          <w:iCs/>
        </w:rPr>
        <w:t>Essential Services Commission Act 2001</w:t>
      </w:r>
      <w:r w:rsidRPr="00FD152B">
        <w:t>, s. 8</w:t>
      </w:r>
      <w:r w:rsidR="00BD3A88">
        <w:t>.</w:t>
      </w:r>
    </w:p>
  </w:footnote>
  <w:footnote w:id="5">
    <w:p w14:paraId="3DA3FBA4" w14:textId="3C7C8221" w:rsidR="00BF2DCE" w:rsidRDefault="00BF2DCE" w:rsidP="00E83C49">
      <w:pPr>
        <w:pStyle w:val="FootnoteText"/>
        <w:ind w:left="284" w:hanging="284"/>
      </w:pPr>
      <w:r>
        <w:rPr>
          <w:rStyle w:val="FootnoteReference"/>
        </w:rPr>
        <w:footnoteRef/>
      </w:r>
      <w:r w:rsidR="00E83C49">
        <w:rPr>
          <w:i/>
          <w:iCs/>
        </w:rPr>
        <w:t xml:space="preserve"> </w:t>
      </w:r>
      <w:r w:rsidR="00E83C49">
        <w:rPr>
          <w:i/>
          <w:iCs/>
        </w:rPr>
        <w:tab/>
      </w:r>
      <w:r w:rsidR="00FD152B" w:rsidRPr="004E6073">
        <w:rPr>
          <w:i/>
          <w:iCs/>
        </w:rPr>
        <w:t>Commercial Passenger Vehicle Industry Act 2017</w:t>
      </w:r>
      <w:r w:rsidR="00FD152B" w:rsidRPr="00FD152B">
        <w:t>, s. 110C</w:t>
      </w:r>
      <w:r w:rsidR="00BD3A88">
        <w:t>.</w:t>
      </w:r>
    </w:p>
  </w:footnote>
  <w:footnote w:id="6">
    <w:p w14:paraId="0A0F86C7" w14:textId="340A4CCB" w:rsidR="00193D96" w:rsidRDefault="00193D96" w:rsidP="00E83C49">
      <w:pPr>
        <w:pStyle w:val="FootnoteText"/>
        <w:ind w:left="284" w:hanging="284"/>
      </w:pPr>
      <w:r>
        <w:rPr>
          <w:rStyle w:val="FootnoteReference"/>
        </w:rPr>
        <w:footnoteRef/>
      </w:r>
      <w:r>
        <w:t xml:space="preserve"> </w:t>
      </w:r>
      <w:r w:rsidR="00E83C49">
        <w:tab/>
      </w:r>
      <w:r w:rsidRPr="004E6073">
        <w:rPr>
          <w:i/>
          <w:iCs/>
        </w:rPr>
        <w:t>Essential Services Commission Act 2001</w:t>
      </w:r>
      <w:r w:rsidRPr="00CA485B">
        <w:t xml:space="preserve">, s. </w:t>
      </w:r>
      <w:r w:rsidR="00A633EB" w:rsidRPr="00CA485B">
        <w:t>8</w:t>
      </w:r>
      <w:r w:rsidR="00A633EB">
        <w:t xml:space="preserve">; </w:t>
      </w:r>
      <w:r w:rsidR="00A633EB" w:rsidRPr="005039D3">
        <w:rPr>
          <w:i/>
          <w:iCs/>
        </w:rPr>
        <w:t>Commercial</w:t>
      </w:r>
      <w:r w:rsidR="005039D3" w:rsidRPr="004E6073">
        <w:rPr>
          <w:i/>
          <w:iCs/>
        </w:rPr>
        <w:t xml:space="preserve"> Passenger Vehicle Industry Act 2017</w:t>
      </w:r>
      <w:r w:rsidR="005039D3" w:rsidRPr="00CA485B">
        <w:t>, s. 122</w:t>
      </w:r>
      <w:r w:rsidR="005039D3">
        <w:t>(1).</w:t>
      </w:r>
    </w:p>
  </w:footnote>
  <w:footnote w:id="7">
    <w:p w14:paraId="348EDEF9" w14:textId="0A30CD6F" w:rsidR="006D1F82" w:rsidRDefault="006D1F82" w:rsidP="00E83C49">
      <w:pPr>
        <w:pStyle w:val="FootnoteText"/>
        <w:ind w:left="284" w:hanging="284"/>
      </w:pPr>
      <w:r>
        <w:rPr>
          <w:rStyle w:val="FootnoteReference"/>
        </w:rPr>
        <w:footnoteRef/>
      </w:r>
      <w:r>
        <w:t xml:space="preserve"> </w:t>
      </w:r>
      <w:r w:rsidR="00E83C49">
        <w:tab/>
      </w:r>
      <w:r w:rsidR="00CA485B" w:rsidRPr="004E6073">
        <w:rPr>
          <w:i/>
          <w:iCs/>
        </w:rPr>
        <w:t>Commercial Passenger Vehicle Industry Act 2017</w:t>
      </w:r>
      <w:r w:rsidR="00CA485B" w:rsidRPr="00CA485B">
        <w:t>, s. 122</w:t>
      </w:r>
      <w:r w:rsidR="0000648C">
        <w:t>(2)</w:t>
      </w:r>
      <w:r w:rsidR="00CA485B" w:rsidRPr="00CA485B">
        <w:t xml:space="preserve">. </w:t>
      </w:r>
    </w:p>
  </w:footnote>
  <w:footnote w:id="8">
    <w:p w14:paraId="13DB7F53" w14:textId="598FC00F" w:rsidR="00B4665C" w:rsidRPr="00B4665C" w:rsidRDefault="00B4665C" w:rsidP="00085E07">
      <w:pPr>
        <w:pStyle w:val="FootnoteText"/>
        <w:ind w:left="284" w:hanging="284"/>
      </w:pPr>
      <w:r>
        <w:rPr>
          <w:rStyle w:val="FootnoteReference"/>
        </w:rPr>
        <w:footnoteRef/>
      </w:r>
      <w:r>
        <w:t xml:space="preserve"> </w:t>
      </w:r>
      <w:r w:rsidR="00085E07">
        <w:tab/>
      </w:r>
      <w:r w:rsidRPr="004E6073">
        <w:rPr>
          <w:i/>
          <w:iCs/>
        </w:rPr>
        <w:t>Commercial Passenger Vehicle Industry Act 2017</w:t>
      </w:r>
      <w:r>
        <w:t>, s 110A</w:t>
      </w:r>
      <w:r w:rsidR="005102EC">
        <w:t>.</w:t>
      </w:r>
    </w:p>
  </w:footnote>
  <w:footnote w:id="9">
    <w:p w14:paraId="6A5DEE0C" w14:textId="2ECF8DD6" w:rsidR="008468CD" w:rsidRDefault="008468CD" w:rsidP="00085E07">
      <w:pPr>
        <w:pStyle w:val="FootnoteText"/>
        <w:ind w:left="284" w:hanging="284"/>
      </w:pPr>
      <w:r>
        <w:rPr>
          <w:rStyle w:val="FootnoteReference"/>
        </w:rPr>
        <w:footnoteRef/>
      </w:r>
      <w:r>
        <w:t xml:space="preserve"> </w:t>
      </w:r>
      <w:bookmarkStart w:id="39" w:name="_Hlk146623235"/>
      <w:r w:rsidR="00085E07">
        <w:tab/>
      </w:r>
      <w:r w:rsidRPr="004E6073">
        <w:rPr>
          <w:i/>
          <w:iCs/>
        </w:rPr>
        <w:t>Essential Services Commission Act 2001</w:t>
      </w:r>
      <w:r>
        <w:t>, s. 8</w:t>
      </w:r>
      <w:bookmarkEnd w:id="39"/>
      <w:r>
        <w:t xml:space="preserve">; </w:t>
      </w:r>
      <w:r w:rsidRPr="004E6073">
        <w:rPr>
          <w:i/>
          <w:iCs/>
        </w:rPr>
        <w:t>Commercial Passenger Vehicle Industry Act 2017</w:t>
      </w:r>
      <w:r>
        <w:t>, s. 110C</w:t>
      </w:r>
      <w:r w:rsidR="007A4781">
        <w:t>.</w:t>
      </w:r>
    </w:p>
  </w:footnote>
  <w:footnote w:id="10">
    <w:p w14:paraId="419D5456" w14:textId="5AB1BD41" w:rsidR="007B6587" w:rsidRDefault="007B6587" w:rsidP="00085E07">
      <w:pPr>
        <w:pStyle w:val="FootnoteText"/>
        <w:ind w:left="284" w:hanging="284"/>
      </w:pPr>
      <w:r>
        <w:rPr>
          <w:rStyle w:val="FootnoteReference"/>
        </w:rPr>
        <w:footnoteRef/>
      </w:r>
      <w:r>
        <w:t xml:space="preserve"> </w:t>
      </w:r>
      <w:r w:rsidR="00085E07">
        <w:tab/>
      </w:r>
      <w:r>
        <w:t>Essential Services Commission 2022, Unbooked taxi fare review 2022: Final decision, 31 August</w:t>
      </w:r>
      <w:r w:rsidR="009306DF">
        <w:t>, p</w:t>
      </w:r>
      <w:r w:rsidR="00944BB0">
        <w:t>.</w:t>
      </w:r>
      <w:r w:rsidR="009306DF">
        <w:t xml:space="preserve"> 1.</w:t>
      </w:r>
      <w:r w:rsidR="00D1632C">
        <w:t xml:space="preserve"> High occupancy fees and charges can be applied when the vehicle is carrying five or more occupants</w:t>
      </w:r>
      <w:r w:rsidR="00B84D4E">
        <w:t xml:space="preserve"> (excluding children under 5 years of age)</w:t>
      </w:r>
      <w:r w:rsidR="00D1632C">
        <w:t>.</w:t>
      </w:r>
    </w:p>
  </w:footnote>
  <w:footnote w:id="11">
    <w:p w14:paraId="30C94B72" w14:textId="7B2B3F1B" w:rsidR="003739F7" w:rsidRDefault="003739F7" w:rsidP="00085E07">
      <w:pPr>
        <w:pStyle w:val="FootnoteText"/>
        <w:ind w:left="284" w:hanging="284"/>
      </w:pPr>
      <w:r>
        <w:rPr>
          <w:rStyle w:val="FootnoteReference"/>
        </w:rPr>
        <w:footnoteRef/>
      </w:r>
      <w:r>
        <w:t xml:space="preserve"> </w:t>
      </w:r>
      <w:r w:rsidR="00085E07">
        <w:tab/>
      </w:r>
      <w:r>
        <w:t>Essential Services Commission 2023, Unbooked Taxi Fare Annual Adjustment 2023: Commission assessment, 24</w:t>
      </w:r>
      <w:r w:rsidR="00365358">
        <w:t> </w:t>
      </w:r>
      <w:r>
        <w:t>August</w:t>
      </w:r>
      <w:r w:rsidR="00F46BE8">
        <w:t>, p</w:t>
      </w:r>
      <w:r w:rsidR="00365358">
        <w:t>.</w:t>
      </w:r>
      <w:r w:rsidR="00F46BE8">
        <w:t xml:space="preserve"> 1.</w:t>
      </w:r>
    </w:p>
  </w:footnote>
  <w:footnote w:id="12">
    <w:p w14:paraId="599D17FC" w14:textId="1C1869E2" w:rsidR="004E76D5" w:rsidRDefault="004E76D5" w:rsidP="00085E07">
      <w:pPr>
        <w:pStyle w:val="FootnoteText"/>
        <w:ind w:left="284" w:hanging="284"/>
      </w:pPr>
      <w:r>
        <w:rPr>
          <w:rStyle w:val="FootnoteReference"/>
        </w:rPr>
        <w:footnoteRef/>
      </w:r>
      <w:r>
        <w:t xml:space="preserve"> </w:t>
      </w:r>
      <w:r w:rsidR="00085E07">
        <w:tab/>
      </w:r>
      <w:r w:rsidRPr="004E76D5">
        <w:t xml:space="preserve">In reviewing the current determination and making a new determination, legislation requires us to adopt an approach and methodology which we consider will best meet the legislative objectives. The matters we must have regard to when undertaking our role and </w:t>
      </w:r>
      <w:proofErr w:type="gramStart"/>
      <w:r w:rsidRPr="004E76D5">
        <w:t>making a determination</w:t>
      </w:r>
      <w:proofErr w:type="gramEnd"/>
      <w:r w:rsidRPr="004E76D5">
        <w:t xml:space="preserve"> are set out in Appendix A.</w:t>
      </w:r>
    </w:p>
  </w:footnote>
  <w:footnote w:id="13">
    <w:p w14:paraId="0604F388" w14:textId="6FA2D080" w:rsidR="00DE5421" w:rsidRDefault="00DE5421" w:rsidP="00085E07">
      <w:pPr>
        <w:pStyle w:val="FootnoteText"/>
        <w:ind w:left="284" w:hanging="284"/>
      </w:pPr>
      <w:r>
        <w:rPr>
          <w:rStyle w:val="FootnoteReference"/>
        </w:rPr>
        <w:footnoteRef/>
      </w:r>
      <w:r>
        <w:t xml:space="preserve"> </w:t>
      </w:r>
      <w:r w:rsidR="00085E07">
        <w:tab/>
      </w:r>
      <w:r>
        <w:t xml:space="preserve">We consider that the value of the data </w:t>
      </w:r>
      <w:r w:rsidR="003E5E0B">
        <w:t xml:space="preserve">would </w:t>
      </w:r>
      <w:r>
        <w:t xml:space="preserve">be lower than </w:t>
      </w:r>
      <w:r w:rsidR="006E62E2">
        <w:t xml:space="preserve">in </w:t>
      </w:r>
      <w:r>
        <w:t>previous reviews. The market is likely still adjusting to the 2022 fare increases and the data will not yet capture the 2023 fare adjustment or the recent legislative changes which mandated taximeters be used for unbooked taxi services.</w:t>
      </w:r>
    </w:p>
  </w:footnote>
  <w:footnote w:id="14">
    <w:p w14:paraId="7A4E43A0" w14:textId="5425B0B1" w:rsidR="00744E22" w:rsidRDefault="00744E22" w:rsidP="00085E07">
      <w:pPr>
        <w:pStyle w:val="FootnoteText"/>
        <w:ind w:left="284" w:hanging="284"/>
      </w:pPr>
      <w:r>
        <w:rPr>
          <w:rStyle w:val="FootnoteReference"/>
        </w:rPr>
        <w:footnoteRef/>
      </w:r>
      <w:r>
        <w:t xml:space="preserve"> </w:t>
      </w:r>
      <w:r w:rsidR="00085E07">
        <w:tab/>
      </w:r>
      <w:r w:rsidR="00DA0BCA">
        <w:t>Honeycomb 2022</w:t>
      </w:r>
      <w:r w:rsidR="00AB3D2C">
        <w:t>,</w:t>
      </w:r>
      <w:r w:rsidR="00DA0BCA">
        <w:t xml:space="preserve"> Essential Services Commission: Taxi Operator Cost Survey</w:t>
      </w:r>
      <w:r w:rsidR="00AB3D2C">
        <w:t xml:space="preserve">, June </w:t>
      </w:r>
      <w:hyperlink r:id="rId1" w:history="1">
        <w:r w:rsidR="00AB3D2C" w:rsidRPr="00BC7D6B">
          <w:rPr>
            <w:rStyle w:val="Hyperlink"/>
          </w:rPr>
          <w:t>https://www.esc.vic.gov.au/sites/default/files/documents/ESC%20Taxi%20Operator%20Survey%20-%20Report%2014%20June%202022%20-Final%20version%20-%2020220719.pdf</w:t>
        </w:r>
      </w:hyperlink>
      <w:r w:rsidR="00AB3D2C">
        <w:t xml:space="preserve"> </w:t>
      </w:r>
    </w:p>
  </w:footnote>
  <w:footnote w:id="15">
    <w:p w14:paraId="32FB1E4C" w14:textId="6E6582C1" w:rsidR="000B63AF" w:rsidRDefault="000B63AF" w:rsidP="0041603E">
      <w:pPr>
        <w:pStyle w:val="FootnoteText"/>
        <w:ind w:left="284" w:hanging="284"/>
      </w:pPr>
      <w:r>
        <w:rPr>
          <w:rStyle w:val="FootnoteReference"/>
        </w:rPr>
        <w:footnoteRef/>
      </w:r>
      <w:r w:rsidR="00E65F5A">
        <w:t xml:space="preserve"> </w:t>
      </w:r>
      <w:r w:rsidR="0041603E">
        <w:tab/>
      </w:r>
      <w:r>
        <w:t xml:space="preserve">Commercial Passenger Vehicle Industry Regulations 2018, </w:t>
      </w:r>
      <w:r w:rsidR="0067226C">
        <w:t xml:space="preserve">r </w:t>
      </w:r>
      <w:r>
        <w:t xml:space="preserve">19. </w:t>
      </w:r>
    </w:p>
  </w:footnote>
  <w:footnote w:id="16">
    <w:p w14:paraId="512C8050" w14:textId="3DA764E5" w:rsidR="00B275B9" w:rsidRDefault="00B275B9" w:rsidP="001F11C8">
      <w:pPr>
        <w:pStyle w:val="FootnoteText"/>
        <w:ind w:left="284" w:hanging="284"/>
      </w:pPr>
      <w:r>
        <w:rPr>
          <w:rStyle w:val="FootnoteReference"/>
        </w:rPr>
        <w:footnoteRef/>
      </w:r>
      <w:r>
        <w:t xml:space="preserve"> </w:t>
      </w:r>
      <w:r w:rsidR="001F11C8">
        <w:tab/>
      </w:r>
      <w:r>
        <w:t xml:space="preserve">We are still required to </w:t>
      </w:r>
      <w:r w:rsidR="00C11819">
        <w:t xml:space="preserve">complete a review of </w:t>
      </w:r>
      <w:r w:rsidR="005E370F">
        <w:t>the 2022 determination within two years of it being made.</w:t>
      </w:r>
    </w:p>
  </w:footnote>
  <w:footnote w:id="17">
    <w:p w14:paraId="668EF969" w14:textId="59D66C72" w:rsidR="00811770" w:rsidRDefault="00811770" w:rsidP="001F11C8">
      <w:pPr>
        <w:pStyle w:val="FootnoteText"/>
        <w:ind w:left="284" w:hanging="284"/>
      </w:pPr>
      <w:r>
        <w:rPr>
          <w:rStyle w:val="FootnoteReference"/>
        </w:rPr>
        <w:footnoteRef/>
      </w:r>
      <w:r>
        <w:t xml:space="preserve"> </w:t>
      </w:r>
      <w:r w:rsidR="001F11C8">
        <w:tab/>
      </w:r>
      <w:r>
        <w:t xml:space="preserve">Essential Services Commission 2022, Determination of Maximum Charges for Unbooked Commercial Passenger Vehicle Services (from 15 September 2022): Maximum charges for commercial passenger vehicle services that begin in the Melbourne Metropolitan Zone or Urban and Large Regional Zone, 31 August, </w:t>
      </w:r>
      <w:r w:rsidR="00FE1BF6">
        <w:t>pp. 19</w:t>
      </w:r>
      <w:r w:rsidR="007F3F8B">
        <w:t>–</w:t>
      </w:r>
      <w:r w:rsidR="00C82F53">
        <w:t>23</w:t>
      </w:r>
      <w:r w:rsidR="007F3F8B">
        <w:t>.</w:t>
      </w:r>
    </w:p>
  </w:footnote>
  <w:footnote w:id="18">
    <w:p w14:paraId="44D36827" w14:textId="120B47A7" w:rsidR="004A7667" w:rsidRDefault="004A7667" w:rsidP="001F11C8">
      <w:pPr>
        <w:pStyle w:val="FootnoteText"/>
        <w:ind w:left="284" w:hanging="284"/>
      </w:pPr>
      <w:r>
        <w:rPr>
          <w:rStyle w:val="FootnoteReference"/>
        </w:rPr>
        <w:footnoteRef/>
      </w:r>
      <w:r>
        <w:t xml:space="preserve"> </w:t>
      </w:r>
      <w:r w:rsidR="001F11C8">
        <w:tab/>
      </w:r>
      <w:r w:rsidRPr="004A7667">
        <w:t xml:space="preserve">The reason for focusing on these two costs was to account for fluctuating fuel prices and to help address driver shortages – two significant issues being faced by the commercial passenger vehicle industry at the time of the </w:t>
      </w:r>
      <w:r w:rsidR="00EC37AC">
        <w:t xml:space="preserve">previous </w:t>
      </w:r>
      <w:r w:rsidRPr="004A7667">
        <w:t xml:space="preserve">review.  </w:t>
      </w:r>
    </w:p>
  </w:footnote>
  <w:footnote w:id="19">
    <w:p w14:paraId="1D00E47C" w14:textId="054589DC" w:rsidR="006A6A92" w:rsidRDefault="006A6A92" w:rsidP="001F11C8">
      <w:pPr>
        <w:pStyle w:val="FootnoteText"/>
        <w:ind w:left="284" w:hanging="284"/>
      </w:pPr>
      <w:r>
        <w:rPr>
          <w:rStyle w:val="FootnoteReference"/>
        </w:rPr>
        <w:footnoteRef/>
      </w:r>
      <w:r>
        <w:t xml:space="preserve"> </w:t>
      </w:r>
      <w:r w:rsidR="001F11C8">
        <w:tab/>
      </w:r>
      <w:r w:rsidR="00146AE5">
        <w:t>The 4.1</w:t>
      </w:r>
      <w:r w:rsidR="00A5672D">
        <w:t> per cent</w:t>
      </w:r>
      <w:r w:rsidR="00146AE5">
        <w:t xml:space="preserve"> increase </w:t>
      </w:r>
      <w:r w:rsidR="00FE42F9">
        <w:t>resulted from</w:t>
      </w:r>
      <w:r w:rsidR="00146AE5">
        <w:t xml:space="preserve"> a 4.75</w:t>
      </w:r>
      <w:r w:rsidR="00A5672D">
        <w:t> per cent</w:t>
      </w:r>
      <w:r w:rsidR="00146AE5">
        <w:t xml:space="preserve"> increase in l</w:t>
      </w:r>
      <w:r>
        <w:t>abour costs</w:t>
      </w:r>
      <w:r w:rsidR="00146AE5">
        <w:t xml:space="preserve"> and a 0.65</w:t>
      </w:r>
      <w:r w:rsidR="00A5672D">
        <w:t> per cent</w:t>
      </w:r>
      <w:r w:rsidR="00146AE5">
        <w:t xml:space="preserve"> decrease in fuel costs. </w:t>
      </w:r>
    </w:p>
  </w:footnote>
  <w:footnote w:id="20">
    <w:p w14:paraId="32B1EF8E" w14:textId="720F5385" w:rsidR="007240B4" w:rsidRDefault="007240B4" w:rsidP="001F11C8">
      <w:pPr>
        <w:pStyle w:val="FootnoteText"/>
        <w:ind w:left="284" w:hanging="284"/>
      </w:pPr>
      <w:r>
        <w:rPr>
          <w:rStyle w:val="FootnoteReference"/>
        </w:rPr>
        <w:footnoteRef/>
      </w:r>
      <w:r>
        <w:t xml:space="preserve"> </w:t>
      </w:r>
      <w:r w:rsidR="001F11C8">
        <w:tab/>
      </w:r>
      <w:r w:rsidR="00983DDC">
        <w:t>For example, with a 4</w:t>
      </w:r>
      <w:r w:rsidR="00A5672D">
        <w:t> per cent</w:t>
      </w:r>
      <w:r w:rsidR="00983DDC">
        <w:t xml:space="preserve"> surcharge, a $30 taxi fare will cost the passenger $31.20</w:t>
      </w:r>
      <w:r w:rsidR="00D71341">
        <w:t xml:space="preserve"> if they pay with a </w:t>
      </w:r>
      <w:r w:rsidR="009F0731">
        <w:t>credit or debit card</w:t>
      </w:r>
      <w:r w:rsidR="00983DDC">
        <w:t xml:space="preserve">. </w:t>
      </w:r>
    </w:p>
  </w:footnote>
  <w:footnote w:id="21">
    <w:p w14:paraId="3C44FFD3" w14:textId="149197CB" w:rsidR="00453F03" w:rsidRDefault="00453F03" w:rsidP="001F11C8">
      <w:pPr>
        <w:pStyle w:val="FootnoteText"/>
        <w:ind w:left="284" w:hanging="284"/>
      </w:pPr>
      <w:r>
        <w:rPr>
          <w:rStyle w:val="FootnoteReference"/>
        </w:rPr>
        <w:footnoteRef/>
      </w:r>
      <w:r>
        <w:t xml:space="preserve"> </w:t>
      </w:r>
      <w:r w:rsidR="001F11C8">
        <w:tab/>
      </w:r>
      <w:r w:rsidR="00153FEF" w:rsidRPr="002D16EC">
        <w:rPr>
          <w:i/>
          <w:iCs/>
        </w:rPr>
        <w:t>Commercial Passenger Vehicle Industry Act 2017</w:t>
      </w:r>
      <w:r w:rsidR="00153FEF" w:rsidRPr="00233D09">
        <w:t>, s. 12</w:t>
      </w:r>
      <w:r w:rsidR="00153FEF">
        <w:t xml:space="preserve">2; </w:t>
      </w:r>
      <w:r w:rsidR="00153FEF" w:rsidRPr="002D16EC">
        <w:rPr>
          <w:i/>
          <w:iCs/>
        </w:rPr>
        <w:t>Essential Services Commission Act 2001</w:t>
      </w:r>
      <w:r w:rsidR="00153FEF">
        <w:t>, s. 8</w:t>
      </w:r>
      <w:r w:rsidR="00062D09">
        <w:t>.</w:t>
      </w:r>
    </w:p>
  </w:footnote>
  <w:footnote w:id="22">
    <w:p w14:paraId="4A721D2E" w14:textId="30790B62" w:rsidR="00993814" w:rsidRDefault="00993814" w:rsidP="001F11C8">
      <w:pPr>
        <w:pStyle w:val="FootnoteText"/>
        <w:ind w:left="284" w:hanging="284"/>
      </w:pPr>
      <w:r>
        <w:rPr>
          <w:rStyle w:val="FootnoteReference"/>
        </w:rPr>
        <w:footnoteRef/>
      </w:r>
      <w:r>
        <w:t xml:space="preserve"> </w:t>
      </w:r>
      <w:r w:rsidR="001F11C8">
        <w:tab/>
      </w:r>
      <w:r w:rsidR="00233D09" w:rsidRPr="002D16EC">
        <w:rPr>
          <w:i/>
          <w:iCs/>
        </w:rPr>
        <w:t>Commercial Passenger Vehicle Industry Act 2017</w:t>
      </w:r>
      <w:r w:rsidR="00233D09" w:rsidRPr="00233D09">
        <w:t>, s. 122.</w:t>
      </w:r>
      <w:r w:rsidR="00233D09" w:rsidDel="00233D09">
        <w:t xml:space="preserve"> </w:t>
      </w:r>
      <w:r w:rsidR="006B531A">
        <w:t>We define 'reasonable cost' to mean costs incurred in accepting and processing non-cash payment transactions, which are moderate, not excessive, and within the limits of what it would be rational or sensible to expect for the given level of service quality and reliability.</w:t>
      </w:r>
    </w:p>
  </w:footnote>
  <w:footnote w:id="23">
    <w:p w14:paraId="5B3C057C" w14:textId="71211B2E" w:rsidR="00AF4019" w:rsidRDefault="00AF4019" w:rsidP="001F11C8">
      <w:pPr>
        <w:pStyle w:val="FootnoteText"/>
        <w:ind w:left="284" w:hanging="284"/>
      </w:pPr>
      <w:r>
        <w:rPr>
          <w:rStyle w:val="FootnoteReference"/>
        </w:rPr>
        <w:footnoteRef/>
      </w:r>
      <w:r>
        <w:t xml:space="preserve"> </w:t>
      </w:r>
      <w:r w:rsidR="001F11C8">
        <w:tab/>
      </w:r>
      <w:r w:rsidR="0068263A">
        <w:t>The Reserve Bank of Australia</w:t>
      </w:r>
      <w:r w:rsidR="001B7D65">
        <w:t xml:space="preserve"> (RBA)</w:t>
      </w:r>
      <w:r w:rsidR="0068263A">
        <w:t xml:space="preserve"> does not permit the surcharge for non-cash payment transactions to exceed the average cost of acceptance over a recent 12-month period.</w:t>
      </w:r>
      <w:r w:rsidR="00813378">
        <w:t xml:space="preserve"> As guide, the</w:t>
      </w:r>
      <w:r w:rsidR="001B7D65">
        <w:t xml:space="preserve"> RBA </w:t>
      </w:r>
      <w:r w:rsidR="00813378">
        <w:t xml:space="preserve">reports </w:t>
      </w:r>
      <w:r w:rsidR="00AA25EF">
        <w:t xml:space="preserve">that the cost of acceptance for non-cash payments </w:t>
      </w:r>
      <w:r w:rsidR="00813378">
        <w:t>is around 0.3</w:t>
      </w:r>
      <w:r w:rsidR="00A5672D">
        <w:t> per cent</w:t>
      </w:r>
      <w:r w:rsidR="00813378">
        <w:t xml:space="preserve"> for </w:t>
      </w:r>
      <w:proofErr w:type="spellStart"/>
      <w:r w:rsidR="00813378">
        <w:t>eftpos</w:t>
      </w:r>
      <w:proofErr w:type="spellEnd"/>
      <w:r w:rsidR="00B31C6C">
        <w:t>, 0.5</w:t>
      </w:r>
      <w:r w:rsidR="00A5672D">
        <w:t> per cent</w:t>
      </w:r>
      <w:r w:rsidR="00B31C6C">
        <w:t xml:space="preserve"> for debit </w:t>
      </w:r>
      <w:r w:rsidR="00311771">
        <w:t xml:space="preserve">card </w:t>
      </w:r>
      <w:r w:rsidR="00B31C6C">
        <w:t>and 1 to 1.5</w:t>
      </w:r>
      <w:r w:rsidR="00A5672D">
        <w:t> per cent</w:t>
      </w:r>
      <w:r w:rsidR="00B31C6C">
        <w:t xml:space="preserve"> for credit </w:t>
      </w:r>
      <w:r w:rsidR="00311771">
        <w:t xml:space="preserve">card </w:t>
      </w:r>
      <w:r w:rsidR="00B31C6C">
        <w:t xml:space="preserve">transactions. </w:t>
      </w:r>
      <w:r w:rsidR="00FE76E5">
        <w:t xml:space="preserve">See: </w:t>
      </w:r>
      <w:hyperlink r:id="rId2" w:anchor="surcharging-consumers-q4" w:history="1">
        <w:r w:rsidR="00FE76E5" w:rsidRPr="00BC7D6B">
          <w:rPr>
            <w:rStyle w:val="Hyperlink"/>
          </w:rPr>
          <w:t>https://www.rba.gov.au/payments-and-infrastructure/review-of-card-payments-regulation/q-and-a/card-payments-regulation-qa-conclusions-paper.html#surcharging-consumers-q4</w:t>
        </w:r>
      </w:hyperlink>
      <w:r w:rsidR="00844932">
        <w:t>.</w:t>
      </w:r>
    </w:p>
  </w:footnote>
  <w:footnote w:id="24">
    <w:p w14:paraId="1E0F32FC" w14:textId="3A779429" w:rsidR="00B9452E" w:rsidRDefault="00B9452E" w:rsidP="001F11C8">
      <w:pPr>
        <w:pStyle w:val="FootnoteText"/>
        <w:ind w:left="284" w:hanging="284"/>
      </w:pPr>
      <w:r>
        <w:rPr>
          <w:rStyle w:val="FootnoteReference"/>
        </w:rPr>
        <w:footnoteRef/>
      </w:r>
      <w:r>
        <w:t xml:space="preserve"> </w:t>
      </w:r>
      <w:r w:rsidR="001F11C8">
        <w:tab/>
      </w:r>
      <w:r w:rsidR="00967859">
        <w:t>We set the maximum non-cash payment surcharges for taxis only. Surcharges for rideshare and other hire cars are regulated by the R</w:t>
      </w:r>
      <w:r w:rsidR="0017774D">
        <w:t xml:space="preserve">eserve </w:t>
      </w:r>
      <w:r w:rsidR="00967859">
        <w:t>B</w:t>
      </w:r>
      <w:r w:rsidR="0017774D">
        <w:t xml:space="preserve">ank of </w:t>
      </w:r>
      <w:r w:rsidR="00967859">
        <w:t>A</w:t>
      </w:r>
      <w:r w:rsidR="0017774D">
        <w:t>ustralia</w:t>
      </w:r>
      <w:r w:rsidR="00967859">
        <w:t xml:space="preserve">. </w:t>
      </w:r>
    </w:p>
  </w:footnote>
  <w:footnote w:id="25">
    <w:p w14:paraId="415A7EA4" w14:textId="187BC91B" w:rsidR="004A4F32" w:rsidRDefault="004A4F32" w:rsidP="001F11C8">
      <w:pPr>
        <w:pStyle w:val="FootnoteText"/>
        <w:ind w:left="284" w:hanging="284"/>
      </w:pPr>
      <w:r>
        <w:rPr>
          <w:rStyle w:val="FootnoteReference"/>
        </w:rPr>
        <w:footnoteRef/>
      </w:r>
      <w:r>
        <w:t xml:space="preserve"> </w:t>
      </w:r>
      <w:r w:rsidR="001F11C8">
        <w:tab/>
      </w:r>
      <w:r>
        <w:t>Merchant aggregators are payment service providers that use a single centralised merchant account.</w:t>
      </w:r>
      <w:r w:rsidR="00ED00BE">
        <w:t xml:space="preserve"> These aggregators allow small businesses</w:t>
      </w:r>
      <w:r w:rsidR="00731901">
        <w:t xml:space="preserve"> (o</w:t>
      </w:r>
      <w:r w:rsidR="00B04509">
        <w:t>r ‘sub-merchants’)</w:t>
      </w:r>
      <w:r w:rsidR="00ED00BE">
        <w:t xml:space="preserve"> to process non-cash transactions without needing to create an individual merchant account. </w:t>
      </w:r>
    </w:p>
  </w:footnote>
  <w:footnote w:id="26">
    <w:p w14:paraId="7F94B9D3" w14:textId="5FDECCF9" w:rsidR="00B56219" w:rsidRDefault="00B56219" w:rsidP="001F11C8">
      <w:pPr>
        <w:pStyle w:val="FootnoteText"/>
        <w:ind w:left="284" w:hanging="284"/>
      </w:pPr>
      <w:r>
        <w:rPr>
          <w:rStyle w:val="FootnoteReference"/>
        </w:rPr>
        <w:footnoteRef/>
      </w:r>
      <w:r>
        <w:t xml:space="preserve"> </w:t>
      </w:r>
      <w:r w:rsidR="001F11C8">
        <w:tab/>
      </w:r>
      <w:r>
        <w:t xml:space="preserve">An example of a </w:t>
      </w:r>
      <w:r w:rsidR="00EF35A5">
        <w:t>merchant aggregator</w:t>
      </w:r>
      <w:r w:rsidR="0013621E">
        <w:t xml:space="preserve"> </w:t>
      </w:r>
      <w:r w:rsidR="00BF2CC2">
        <w:t>that operates in other industries</w:t>
      </w:r>
      <w:r w:rsidR="0013621E">
        <w:t xml:space="preserve"> </w:t>
      </w:r>
      <w:r w:rsidR="0090400C">
        <w:t>is</w:t>
      </w:r>
      <w:r w:rsidR="00281FBA">
        <w:t xml:space="preserve"> </w:t>
      </w:r>
      <w:r w:rsidR="00EF35A5">
        <w:t>Square</w:t>
      </w:r>
      <w:r w:rsidR="00595899">
        <w:t>.</w:t>
      </w:r>
      <w:r w:rsidR="00EF35A5">
        <w:t xml:space="preserve"> </w:t>
      </w:r>
    </w:p>
  </w:footnote>
  <w:footnote w:id="27">
    <w:p w14:paraId="2B8E2710" w14:textId="09A62017" w:rsidR="00C035DA" w:rsidRDefault="00C035DA" w:rsidP="001F11C8">
      <w:pPr>
        <w:pStyle w:val="FootnoteText"/>
        <w:ind w:left="284" w:hanging="284"/>
      </w:pPr>
      <w:r>
        <w:rPr>
          <w:rStyle w:val="FootnoteReference"/>
        </w:rPr>
        <w:footnoteRef/>
      </w:r>
      <w:r>
        <w:t xml:space="preserve"> </w:t>
      </w:r>
      <w:r w:rsidR="001F11C8">
        <w:tab/>
      </w:r>
      <w:r>
        <w:t xml:space="preserve">The </w:t>
      </w:r>
      <w:r w:rsidR="008C27D6">
        <w:t>usefulness of the</w:t>
      </w:r>
      <w:r>
        <w:t xml:space="preserve"> data we collected for our 2022 review was limited due to the impact of the coronavirus pandemic</w:t>
      </w:r>
      <w:r w:rsidR="002569B7">
        <w:t>.</w:t>
      </w:r>
    </w:p>
  </w:footnote>
  <w:footnote w:id="28">
    <w:p w14:paraId="5FB64E1A" w14:textId="4529C9F4" w:rsidR="0034511B" w:rsidRDefault="0034511B" w:rsidP="001F11C8">
      <w:pPr>
        <w:pStyle w:val="FootnoteText"/>
        <w:spacing w:before="120"/>
        <w:ind w:left="284" w:hanging="284"/>
      </w:pPr>
      <w:r>
        <w:rPr>
          <w:rStyle w:val="FootnoteReference"/>
        </w:rPr>
        <w:footnoteRef/>
      </w:r>
      <w:r>
        <w:t xml:space="preserve"> </w:t>
      </w:r>
      <w:r w:rsidR="001F11C8">
        <w:tab/>
      </w:r>
      <w:r w:rsidRPr="0034511B">
        <w:t xml:space="preserve">In reviewing the current determination and making a new determination, legislation requires us to adopt an approach and methodology which we consider will best meet the legislative objectives. The matters we must have regard to when undertaking our role and </w:t>
      </w:r>
      <w:proofErr w:type="gramStart"/>
      <w:r w:rsidRPr="0034511B">
        <w:t>making a determination</w:t>
      </w:r>
      <w:proofErr w:type="gramEnd"/>
      <w:r w:rsidRPr="0034511B">
        <w:t xml:space="preserve"> are set out in Appendix A.</w:t>
      </w:r>
    </w:p>
  </w:footnote>
  <w:footnote w:id="29">
    <w:p w14:paraId="723D7143" w14:textId="6F3566EF" w:rsidR="000F475B" w:rsidRDefault="000F475B" w:rsidP="001F11C8">
      <w:pPr>
        <w:pStyle w:val="FootnoteText"/>
        <w:spacing w:before="120"/>
        <w:ind w:left="284" w:hanging="284"/>
      </w:pPr>
      <w:r>
        <w:rPr>
          <w:rStyle w:val="FootnoteReference"/>
        </w:rPr>
        <w:footnoteRef/>
      </w:r>
      <w:r>
        <w:t xml:space="preserve"> </w:t>
      </w:r>
      <w:r w:rsidR="001F11C8">
        <w:tab/>
      </w:r>
      <w:r>
        <w:t xml:space="preserve">A building block model </w:t>
      </w:r>
      <w:r w:rsidR="008961A8">
        <w:t>calculates the amount of revenue</w:t>
      </w:r>
      <w:r w:rsidR="001960EC">
        <w:t xml:space="preserve"> that</w:t>
      </w:r>
      <w:r w:rsidR="008961A8">
        <w:t xml:space="preserve"> will be sufficient in recovering relevant economic costs. The</w:t>
      </w:r>
      <w:r w:rsidR="00B54E56">
        <w:t xml:space="preserve"> components of the model are the</w:t>
      </w:r>
      <w:r w:rsidR="00BD3DDF">
        <w:t xml:space="preserve"> return on capital</w:t>
      </w:r>
      <w:r w:rsidR="002D0477">
        <w:t xml:space="preserve">, a return of capital (depreciation) and operating expenditure. </w:t>
      </w:r>
    </w:p>
  </w:footnote>
  <w:footnote w:id="30">
    <w:p w14:paraId="75DEC74A" w14:textId="1708897A" w:rsidR="005C3EDC" w:rsidRDefault="005C3EDC" w:rsidP="00A971E4">
      <w:pPr>
        <w:pStyle w:val="FootnoteText"/>
        <w:ind w:left="284" w:hanging="284"/>
      </w:pPr>
      <w:r>
        <w:rPr>
          <w:rStyle w:val="FootnoteReference"/>
        </w:rPr>
        <w:footnoteRef/>
      </w:r>
      <w:r w:rsidR="00A971E4">
        <w:tab/>
      </w:r>
      <w:r w:rsidR="008C7D70">
        <w:t xml:space="preserve">The </w:t>
      </w:r>
      <w:r w:rsidR="00866B98">
        <w:t xml:space="preserve">usefulness of the </w:t>
      </w:r>
      <w:r w:rsidR="008C7D70">
        <w:t xml:space="preserve">data we collected for our 2022 review was limited due to the </w:t>
      </w:r>
      <w:r w:rsidR="00E20DB7">
        <w:t>impact</w:t>
      </w:r>
      <w:r w:rsidR="00212B6A">
        <w:t xml:space="preserve"> of the coronavirus pandemic. </w:t>
      </w:r>
      <w:r w:rsidR="009F3759">
        <w:t>A decrease in taxi rev</w:t>
      </w:r>
      <w:r w:rsidR="00F403B2">
        <w:t>enue</w:t>
      </w:r>
      <w:r w:rsidR="00FF799D">
        <w:t xml:space="preserve"> due to lower demand during this period</w:t>
      </w:r>
      <w:r w:rsidR="009F3759">
        <w:t xml:space="preserve"> </w:t>
      </w:r>
      <w:r w:rsidR="007D37C6">
        <w:t>meant the range of processing costs we benchmarked expanded.</w:t>
      </w:r>
    </w:p>
  </w:footnote>
  <w:footnote w:id="31">
    <w:p w14:paraId="0B3392B4" w14:textId="25B13DF7" w:rsidR="00631933" w:rsidRPr="0077425A" w:rsidRDefault="00631933" w:rsidP="00391D49">
      <w:pPr>
        <w:spacing w:after="0" w:line="240" w:lineRule="auto"/>
        <w:ind w:left="284" w:hanging="284"/>
        <w:rPr>
          <w:rStyle w:val="FootnoteTextChar"/>
        </w:rPr>
      </w:pPr>
      <w:r>
        <w:rPr>
          <w:rStyle w:val="FootnoteReference"/>
          <w:rFonts w:ascii="Arial" w:eastAsia="Arial" w:hAnsi="Arial" w:cs="Arial"/>
          <w:color w:val="000000"/>
          <w:sz w:val="18"/>
          <w:szCs w:val="18"/>
        </w:rPr>
        <w:footnoteRef/>
      </w:r>
      <w:r>
        <w:rPr>
          <w:rFonts w:ascii="Arial" w:eastAsia="Arial" w:hAnsi="Arial" w:cs="Arial"/>
          <w:sz w:val="18"/>
          <w:szCs w:val="18"/>
        </w:rPr>
        <w:t xml:space="preserve"> </w:t>
      </w:r>
      <w:r w:rsidR="00391D49">
        <w:rPr>
          <w:rFonts w:ascii="Arial" w:eastAsia="Arial" w:hAnsi="Arial" w:cs="Arial"/>
          <w:sz w:val="18"/>
          <w:szCs w:val="18"/>
        </w:rPr>
        <w:tab/>
      </w:r>
      <w:r w:rsidRPr="002D7EEC">
        <w:rPr>
          <w:rFonts w:ascii="Arial" w:eastAsia="Arial" w:hAnsi="Arial" w:cs="Arial"/>
          <w:i/>
          <w:iCs/>
          <w:sz w:val="18"/>
          <w:szCs w:val="18"/>
        </w:rPr>
        <w:t>Transport Integration Act 2010</w:t>
      </w:r>
      <w:r>
        <w:rPr>
          <w:rFonts w:ascii="Arial" w:eastAsia="Arial" w:hAnsi="Arial" w:cs="Arial"/>
          <w:sz w:val="18"/>
          <w:szCs w:val="18"/>
        </w:rPr>
        <w:t>, s.</w:t>
      </w:r>
      <w:r w:rsidR="008A34FC">
        <w:rPr>
          <w:rFonts w:ascii="Arial" w:eastAsia="Arial" w:hAnsi="Arial" w:cs="Arial"/>
          <w:sz w:val="18"/>
          <w:szCs w:val="18"/>
        </w:rPr>
        <w:t xml:space="preserve"> </w:t>
      </w:r>
      <w:r>
        <w:rPr>
          <w:rFonts w:ascii="Arial" w:eastAsia="Arial" w:hAnsi="Arial" w:cs="Arial"/>
          <w:sz w:val="18"/>
          <w:szCs w:val="18"/>
        </w:rPr>
        <w:t xml:space="preserve">24. </w:t>
      </w:r>
      <w:r w:rsidRPr="0077425A">
        <w:rPr>
          <w:rStyle w:val="FootnoteTextChar"/>
        </w:rPr>
        <w:t xml:space="preserve">The definition of </w:t>
      </w:r>
      <w:r>
        <w:rPr>
          <w:rStyle w:val="FootnoteTextChar"/>
        </w:rPr>
        <w:t xml:space="preserve">a </w:t>
      </w:r>
      <w:r w:rsidRPr="0077425A">
        <w:rPr>
          <w:rStyle w:val="FootnoteTextChar"/>
        </w:rPr>
        <w:t xml:space="preserve">transport body under </w:t>
      </w:r>
      <w:r>
        <w:rPr>
          <w:rStyle w:val="FootnoteTextChar"/>
        </w:rPr>
        <w:t>s.</w:t>
      </w:r>
      <w:r w:rsidR="008A34FC">
        <w:rPr>
          <w:rStyle w:val="FootnoteTextChar"/>
        </w:rPr>
        <w:t xml:space="preserve"> </w:t>
      </w:r>
      <w:r>
        <w:rPr>
          <w:rStyle w:val="FootnoteTextChar"/>
        </w:rPr>
        <w:t xml:space="preserve">3 of </w:t>
      </w:r>
      <w:r w:rsidRPr="0077425A">
        <w:rPr>
          <w:rStyle w:val="FootnoteTextChar"/>
        </w:rPr>
        <w:t xml:space="preserve">the </w:t>
      </w:r>
      <w:r w:rsidRPr="00A633EB">
        <w:rPr>
          <w:rStyle w:val="FootnoteTextChar"/>
          <w:i/>
        </w:rPr>
        <w:t>Transport Integration Act 2010</w:t>
      </w:r>
      <w:r w:rsidRPr="0077425A">
        <w:rPr>
          <w:rStyle w:val="FootnoteTextChar"/>
        </w:rPr>
        <w:t xml:space="preserve"> includes the Essential Services Commission when it is exercising its functions and powers under any transport legislation in respect of the transport system. Transport legislation is </w:t>
      </w:r>
      <w:r>
        <w:rPr>
          <w:rStyle w:val="FootnoteTextChar"/>
        </w:rPr>
        <w:t xml:space="preserve">also </w:t>
      </w:r>
      <w:r w:rsidRPr="0077425A">
        <w:rPr>
          <w:rStyle w:val="FootnoteTextChar"/>
        </w:rPr>
        <w:t xml:space="preserve">defined </w:t>
      </w:r>
      <w:r>
        <w:rPr>
          <w:rStyle w:val="FootnoteTextChar"/>
        </w:rPr>
        <w:t>under s.</w:t>
      </w:r>
      <w:r w:rsidR="008A34FC">
        <w:rPr>
          <w:rStyle w:val="FootnoteTextChar"/>
        </w:rPr>
        <w:t xml:space="preserve"> </w:t>
      </w:r>
      <w:r>
        <w:rPr>
          <w:rStyle w:val="FootnoteTextChar"/>
        </w:rPr>
        <w:t xml:space="preserve">3 </w:t>
      </w:r>
      <w:r w:rsidRPr="0077425A">
        <w:rPr>
          <w:rStyle w:val="FootnoteTextChar"/>
        </w:rPr>
        <w:t xml:space="preserve">to include the </w:t>
      </w:r>
      <w:r w:rsidRPr="00A633EB">
        <w:rPr>
          <w:rStyle w:val="FootnoteTextChar"/>
          <w:i/>
        </w:rPr>
        <w:t>Commercial Passenger Vehicle Industry Act 2017</w:t>
      </w:r>
      <w:r w:rsidRPr="0077425A">
        <w:rPr>
          <w:rStyle w:val="FootnoteTextChar"/>
        </w:rPr>
        <w:t xml:space="preserve">. </w:t>
      </w:r>
      <w:r w:rsidRPr="00A24F13">
        <w:rPr>
          <w:rStyle w:val="FootnoteTextChar"/>
        </w:rPr>
        <w:t>Transport System is also defined under s. 3 to mean all components which make up the system for moving persons and goods.</w:t>
      </w:r>
    </w:p>
  </w:footnote>
  <w:footnote w:id="32">
    <w:p w14:paraId="50125B08" w14:textId="4CDF1AB5" w:rsidR="00BF703F" w:rsidRDefault="00BF703F" w:rsidP="00391D49">
      <w:pPr>
        <w:pStyle w:val="FootnoteText"/>
        <w:ind w:left="284" w:hanging="284"/>
      </w:pPr>
      <w:r>
        <w:rPr>
          <w:rStyle w:val="FootnoteReference"/>
        </w:rPr>
        <w:footnoteRef/>
      </w:r>
      <w:r>
        <w:t xml:space="preserve"> </w:t>
      </w:r>
      <w:r w:rsidR="00391D49">
        <w:tab/>
      </w:r>
      <w:r w:rsidRPr="00A633EB">
        <w:rPr>
          <w:i/>
        </w:rPr>
        <w:t>Commercial Passenger Vehicle Industry Act 2017</w:t>
      </w:r>
      <w:r>
        <w:t xml:space="preserve">, s. 110(F); </w:t>
      </w:r>
      <w:r w:rsidRPr="00A633EB">
        <w:rPr>
          <w:i/>
        </w:rPr>
        <w:t>Commercial Passenger Vehicle Industry Act 2017</w:t>
      </w:r>
      <w:r>
        <w:t>, s.</w:t>
      </w:r>
      <w:r w:rsidR="00F33E45">
        <w:t> </w:t>
      </w:r>
      <w:r>
        <w:t>112(2).</w:t>
      </w:r>
    </w:p>
  </w:footnote>
  <w:footnote w:id="33">
    <w:p w14:paraId="1CFE0507" w14:textId="2D25612F" w:rsidR="00986836" w:rsidRPr="00986836" w:rsidRDefault="00986836" w:rsidP="00391D49">
      <w:pPr>
        <w:pStyle w:val="FootnoteText"/>
        <w:ind w:left="284" w:hanging="284"/>
      </w:pPr>
      <w:r>
        <w:rPr>
          <w:rStyle w:val="FootnoteReference"/>
        </w:rPr>
        <w:footnoteRef/>
      </w:r>
      <w:r>
        <w:t xml:space="preserve"> </w:t>
      </w:r>
      <w:r w:rsidR="00391D49">
        <w:tab/>
      </w:r>
      <w:r>
        <w:rPr>
          <w:i/>
          <w:iCs/>
        </w:rPr>
        <w:t>Essential Services Commission Act 2001</w:t>
      </w:r>
      <w:r>
        <w:t>, s</w:t>
      </w:r>
      <w:r w:rsidR="00F33E45">
        <w:t>.</w:t>
      </w:r>
      <w:r>
        <w:t xml:space="preserve"> 33(2). </w:t>
      </w:r>
    </w:p>
  </w:footnote>
  <w:footnote w:id="34">
    <w:p w14:paraId="565A5E64" w14:textId="50C027F0" w:rsidR="00C51465" w:rsidRPr="00FE40EA" w:rsidRDefault="00C51465" w:rsidP="00391D49">
      <w:pPr>
        <w:pStyle w:val="FootnoteText"/>
        <w:ind w:left="284" w:hanging="284"/>
      </w:pPr>
      <w:r>
        <w:rPr>
          <w:rStyle w:val="FootnoteReference"/>
        </w:rPr>
        <w:footnoteRef/>
      </w:r>
      <w:r>
        <w:t xml:space="preserve"> </w:t>
      </w:r>
      <w:r w:rsidR="00391D49">
        <w:tab/>
      </w:r>
      <w:r w:rsidRPr="00D72A6B">
        <w:rPr>
          <w:i/>
          <w:iCs/>
        </w:rPr>
        <w:t>Commercial Passenger Vehicle Industry Act 2017</w:t>
      </w:r>
      <w:r>
        <w:t>, s. 110C.</w:t>
      </w:r>
    </w:p>
  </w:footnote>
  <w:footnote w:id="35">
    <w:p w14:paraId="63E3F98B" w14:textId="76C8FB93" w:rsidR="00C51465" w:rsidRPr="00B126ED" w:rsidRDefault="00C51465" w:rsidP="00391D49">
      <w:pPr>
        <w:pStyle w:val="FootnoteText"/>
        <w:ind w:left="284" w:hanging="284"/>
      </w:pPr>
      <w:r>
        <w:rPr>
          <w:rStyle w:val="FootnoteReference"/>
        </w:rPr>
        <w:footnoteRef/>
      </w:r>
      <w:r>
        <w:t xml:space="preserve"> </w:t>
      </w:r>
      <w:r w:rsidR="00391D49">
        <w:tab/>
      </w:r>
      <w:r w:rsidRPr="00D72A6B">
        <w:rPr>
          <w:i/>
          <w:iCs/>
        </w:rPr>
        <w:t>Essential Services Commission Act 2001</w:t>
      </w:r>
      <w:r>
        <w:t>, s. 8.</w:t>
      </w:r>
    </w:p>
  </w:footnote>
  <w:footnote w:id="36">
    <w:p w14:paraId="3BE933D2" w14:textId="17682AFE" w:rsidR="00C51465" w:rsidRPr="00C01AD0" w:rsidRDefault="00C51465" w:rsidP="00391D49">
      <w:pPr>
        <w:pStyle w:val="FootnoteText"/>
        <w:ind w:left="284" w:hanging="284"/>
      </w:pPr>
      <w:r w:rsidRPr="00424C73">
        <w:rPr>
          <w:rStyle w:val="FootnoteReference"/>
        </w:rPr>
        <w:footnoteRef/>
      </w:r>
      <w:r w:rsidRPr="00424C73">
        <w:rPr>
          <w:vertAlign w:val="superscript"/>
        </w:rPr>
        <w:t xml:space="preserve"> </w:t>
      </w:r>
      <w:r w:rsidR="00391D49">
        <w:rPr>
          <w:vertAlign w:val="superscript"/>
        </w:rPr>
        <w:tab/>
      </w:r>
      <w:r w:rsidRPr="00D72A6B">
        <w:rPr>
          <w:i/>
          <w:iCs/>
        </w:rPr>
        <w:t>Essential Services Commission Act 2001</w:t>
      </w:r>
      <w:r w:rsidRPr="00C01AD0">
        <w:t>, s.</w:t>
      </w:r>
      <w:r>
        <w:t xml:space="preserve"> </w:t>
      </w:r>
      <w:r w:rsidRPr="00C01AD0">
        <w:t>8.</w:t>
      </w:r>
    </w:p>
  </w:footnote>
  <w:footnote w:id="37">
    <w:p w14:paraId="7552008A" w14:textId="0B335510" w:rsidR="00DF46A6" w:rsidRPr="008108BA" w:rsidRDefault="00DF46A6" w:rsidP="00391D49">
      <w:pPr>
        <w:pStyle w:val="FootnoteText"/>
        <w:ind w:left="284" w:hanging="284"/>
        <w:rPr>
          <w:lang w:val="en-US"/>
        </w:rPr>
      </w:pPr>
      <w:r>
        <w:rPr>
          <w:rStyle w:val="FootnoteReference"/>
        </w:rPr>
        <w:footnoteRef/>
      </w:r>
      <w:r>
        <w:t xml:space="preserve"> </w:t>
      </w:r>
      <w:r w:rsidR="00391D49">
        <w:tab/>
      </w:r>
      <w:r w:rsidRPr="001121D3">
        <w:rPr>
          <w:i/>
          <w:iCs/>
          <w:lang w:val="en-US"/>
        </w:rPr>
        <w:t>Commercial Passenger Vehicle Industry Act 2016</w:t>
      </w:r>
      <w:r>
        <w:rPr>
          <w:lang w:val="en-US"/>
        </w:rPr>
        <w:t>, s. 110E(</w:t>
      </w:r>
      <w:proofErr w:type="gramStart"/>
      <w:r>
        <w:rPr>
          <w:lang w:val="en-US"/>
        </w:rPr>
        <w:t>1)(</w:t>
      </w:r>
      <w:proofErr w:type="gramEnd"/>
      <w:r>
        <w:rPr>
          <w:lang w:val="en-US"/>
        </w:rPr>
        <w:t>ga).</w:t>
      </w:r>
    </w:p>
  </w:footnote>
  <w:footnote w:id="38">
    <w:p w14:paraId="65EB9A7A" w14:textId="4B52F185" w:rsidR="00DF46A6" w:rsidRPr="00F7116B" w:rsidRDefault="00DF46A6" w:rsidP="00391D49">
      <w:pPr>
        <w:pStyle w:val="FootnoteText"/>
        <w:ind w:left="284" w:hanging="284"/>
        <w:rPr>
          <w:lang w:val="en-GB"/>
        </w:rPr>
      </w:pPr>
      <w:r>
        <w:rPr>
          <w:rStyle w:val="FootnoteReference"/>
        </w:rPr>
        <w:footnoteRef/>
      </w:r>
      <w:r>
        <w:t xml:space="preserve"> </w:t>
      </w:r>
      <w:r w:rsidR="00391D49">
        <w:tab/>
      </w:r>
      <w:r w:rsidRPr="001121D3">
        <w:rPr>
          <w:i/>
          <w:iCs/>
          <w:szCs w:val="18"/>
        </w:rPr>
        <w:t>Commercial Passenger Vehicle Industry Act 2017</w:t>
      </w:r>
      <w:r>
        <w:rPr>
          <w:szCs w:val="18"/>
        </w:rPr>
        <w:t>, s. 110E(</w:t>
      </w:r>
      <w:proofErr w:type="gramStart"/>
      <w:r>
        <w:rPr>
          <w:szCs w:val="18"/>
        </w:rPr>
        <w:t>1)(</w:t>
      </w:r>
      <w:proofErr w:type="spellStart"/>
      <w:proofErr w:type="gramEnd"/>
      <w:r>
        <w:rPr>
          <w:szCs w:val="18"/>
        </w:rPr>
        <w:t>gb</w:t>
      </w:r>
      <w:proofErr w:type="spellEnd"/>
      <w:r>
        <w:rPr>
          <w:szCs w:val="18"/>
        </w:rPr>
        <w:t>).</w:t>
      </w:r>
    </w:p>
  </w:footnote>
  <w:footnote w:id="39">
    <w:p w14:paraId="6B82106B" w14:textId="480869B0" w:rsidR="00DB3108" w:rsidRPr="00095D72" w:rsidRDefault="00DB3108" w:rsidP="00391D49">
      <w:pPr>
        <w:pStyle w:val="FootnoteText"/>
        <w:ind w:left="284" w:hanging="284"/>
        <w:rPr>
          <w:lang w:val="en-US"/>
        </w:rPr>
      </w:pPr>
      <w:r>
        <w:rPr>
          <w:rStyle w:val="FootnoteReference"/>
        </w:rPr>
        <w:footnoteRef/>
      </w:r>
      <w:r>
        <w:t xml:space="preserve"> </w:t>
      </w:r>
      <w:r w:rsidR="00391D49">
        <w:tab/>
      </w:r>
      <w:r w:rsidRPr="002D16EC">
        <w:rPr>
          <w:i/>
          <w:iCs/>
        </w:rPr>
        <w:t>Commercial Passenger Vehicle Industry Act 2017</w:t>
      </w:r>
      <w:r>
        <w:t>, s. 122(1).</w:t>
      </w:r>
    </w:p>
  </w:footnote>
  <w:footnote w:id="40">
    <w:p w14:paraId="77BCD4E0" w14:textId="24088922" w:rsidR="00DB3108" w:rsidRDefault="00DB3108" w:rsidP="00391D49">
      <w:pPr>
        <w:pStyle w:val="FootnoteText"/>
        <w:ind w:left="284" w:hanging="284"/>
      </w:pPr>
      <w:r>
        <w:rPr>
          <w:rStyle w:val="FootnoteReference"/>
        </w:rPr>
        <w:footnoteRef/>
      </w:r>
      <w:r>
        <w:t xml:space="preserve"> </w:t>
      </w:r>
      <w:r w:rsidR="00391D49">
        <w:tab/>
      </w:r>
      <w:r w:rsidRPr="002D16EC">
        <w:rPr>
          <w:i/>
          <w:iCs/>
        </w:rPr>
        <w:t>Commercial Passenger Vehicle Industry Act 2017</w:t>
      </w:r>
      <w:r>
        <w:t>, s.</w:t>
      </w:r>
      <w:r w:rsidR="0099189E">
        <w:t xml:space="preserve"> </w:t>
      </w:r>
      <w:r>
        <w:t xml:space="preserve">122(2). </w:t>
      </w:r>
    </w:p>
  </w:footnote>
  <w:footnote w:id="41">
    <w:p w14:paraId="223F86E5" w14:textId="768198D7" w:rsidR="00DB3108" w:rsidRDefault="00DB3108" w:rsidP="00391D49">
      <w:pPr>
        <w:pStyle w:val="FootnoteText"/>
        <w:ind w:left="284" w:hanging="284"/>
      </w:pPr>
      <w:r>
        <w:rPr>
          <w:rStyle w:val="FootnoteReference"/>
        </w:rPr>
        <w:footnoteRef/>
      </w:r>
      <w:r>
        <w:t xml:space="preserve"> </w:t>
      </w:r>
      <w:r w:rsidR="00391D49">
        <w:tab/>
      </w:r>
      <w:r w:rsidRPr="002D16EC">
        <w:rPr>
          <w:i/>
          <w:iCs/>
        </w:rPr>
        <w:t>Commercial Passenger Vehicle Industry Act 2017</w:t>
      </w:r>
      <w:r>
        <w:t>, s.</w:t>
      </w:r>
      <w:r w:rsidR="0099189E">
        <w:t xml:space="preserve"> </w:t>
      </w:r>
      <w:r>
        <w:t xml:space="preserve">122(3). </w:t>
      </w:r>
    </w:p>
  </w:footnote>
  <w:footnote w:id="42">
    <w:p w14:paraId="7A26B9DB" w14:textId="5883FCF0" w:rsidR="00DB3108" w:rsidRPr="00095D72" w:rsidRDefault="00DB3108" w:rsidP="00391D49">
      <w:pPr>
        <w:pStyle w:val="FootnoteText"/>
        <w:ind w:left="284" w:hanging="284"/>
        <w:rPr>
          <w:lang w:val="en-US"/>
        </w:rPr>
      </w:pPr>
      <w:r>
        <w:rPr>
          <w:rStyle w:val="FootnoteReference"/>
        </w:rPr>
        <w:footnoteRef/>
      </w:r>
      <w:r>
        <w:t xml:space="preserve"> </w:t>
      </w:r>
      <w:r w:rsidR="00391D49">
        <w:tab/>
      </w:r>
      <w:r w:rsidRPr="002D16EC">
        <w:rPr>
          <w:i/>
          <w:iCs/>
        </w:rPr>
        <w:t>Essential Services Commission Act 200</w:t>
      </w:r>
      <w:r>
        <w:t>1, s. 8(1).</w:t>
      </w:r>
    </w:p>
  </w:footnote>
  <w:footnote w:id="43">
    <w:p w14:paraId="3AB50F61" w14:textId="5A8B6F75" w:rsidR="00DB3108" w:rsidRDefault="00DB3108" w:rsidP="00391D49">
      <w:pPr>
        <w:pStyle w:val="FootnoteText"/>
        <w:ind w:left="284" w:hanging="284"/>
      </w:pPr>
      <w:r>
        <w:rPr>
          <w:rStyle w:val="FootnoteReference"/>
        </w:rPr>
        <w:footnoteRef/>
      </w:r>
      <w:r>
        <w:t xml:space="preserve"> </w:t>
      </w:r>
      <w:r w:rsidR="00391D49">
        <w:tab/>
      </w:r>
      <w:r w:rsidRPr="002D16EC">
        <w:rPr>
          <w:i/>
          <w:iCs/>
        </w:rPr>
        <w:t>Essential Services Commission Act 2001</w:t>
      </w:r>
      <w:r>
        <w:t>, s. 8(2).</w:t>
      </w:r>
    </w:p>
  </w:footnote>
  <w:footnote w:id="44">
    <w:p w14:paraId="0CE9150E" w14:textId="323FC767" w:rsidR="00775FED" w:rsidRDefault="00775FED" w:rsidP="00391D49">
      <w:pPr>
        <w:pStyle w:val="FootnoteText"/>
        <w:ind w:left="284" w:hanging="284"/>
      </w:pPr>
      <w:r>
        <w:rPr>
          <w:rStyle w:val="FootnoteReference"/>
        </w:rPr>
        <w:footnoteRef/>
      </w:r>
      <w:r>
        <w:t xml:space="preserve"> </w:t>
      </w:r>
      <w:r w:rsidR="00391D49">
        <w:tab/>
      </w:r>
      <w:r>
        <w:t xml:space="preserve">Commercial Passenger Vehicle Industry Act 2017, s. 112(2). </w:t>
      </w:r>
    </w:p>
  </w:footnote>
  <w:footnote w:id="45">
    <w:p w14:paraId="64D96877" w14:textId="4978072F" w:rsidR="00775FED" w:rsidRDefault="00775FED" w:rsidP="00391D49">
      <w:pPr>
        <w:pStyle w:val="FootnoteText"/>
        <w:ind w:left="284" w:hanging="284"/>
      </w:pPr>
      <w:r>
        <w:rPr>
          <w:rStyle w:val="FootnoteReference"/>
        </w:rPr>
        <w:footnoteRef/>
      </w:r>
      <w:r>
        <w:t xml:space="preserve"> </w:t>
      </w:r>
      <w:r w:rsidR="00391D49">
        <w:tab/>
      </w:r>
      <w:r>
        <w:rPr>
          <w:lang w:val="en-US"/>
        </w:rPr>
        <w:t xml:space="preserve">Reserve Bank of Australia 2016, </w:t>
      </w:r>
      <w:r w:rsidRPr="005D03BA">
        <w:rPr>
          <w:i/>
          <w:iCs/>
          <w:lang w:val="en-US"/>
        </w:rPr>
        <w:t>Standard no. 3 of 2016: Scheme Rules Relating to Merchant Pricing for Credit, Debit and Prepaid Card Transactions</w:t>
      </w:r>
      <w:r>
        <w:rPr>
          <w:lang w:val="en-US"/>
        </w:rPr>
        <w:t xml:space="preserve">, section 2.7, 1 Sep 2016 varied with effect from 1 Jan 2022, </w:t>
      </w:r>
      <w:hyperlink r:id="rId3" w:history="1">
        <w:r w:rsidRPr="00024AD7">
          <w:rPr>
            <w:rStyle w:val="Hyperlink"/>
            <w:lang w:val="en-US"/>
          </w:rPr>
          <w:t>https://www.rba.gov.au/payments-and-infrastructure/review-of-card-payments-regulation/pdf/standard-no-3-of-2016-scheme-rules-relating-to-merchant-pricing-2021-11-18.pdf</w:t>
        </w:r>
      </w:hyperlink>
      <w:r>
        <w:rPr>
          <w:lang w:val="en-US"/>
        </w:rPr>
        <w:t xml:space="preserve">, accessed </w:t>
      </w:r>
      <w:r w:rsidR="00CF6A05">
        <w:rPr>
          <w:lang w:val="en-US"/>
        </w:rPr>
        <w:t>25</w:t>
      </w:r>
      <w:r>
        <w:rPr>
          <w:lang w:val="en-US"/>
        </w:rPr>
        <w:t xml:space="preserve"> </w:t>
      </w:r>
      <w:r w:rsidR="00CF6A05">
        <w:rPr>
          <w:lang w:val="en-US"/>
        </w:rPr>
        <w:t xml:space="preserve">September </w:t>
      </w:r>
      <w:r>
        <w:rPr>
          <w:lang w:val="en-US"/>
        </w:rPr>
        <w:t>202</w:t>
      </w:r>
      <w:r w:rsidR="001C0E78">
        <w:rPr>
          <w:lang w:val="en-US"/>
        </w:rPr>
        <w:t>3</w:t>
      </w:r>
      <w:r>
        <w:rPr>
          <w:lang w:val="en-US"/>
        </w:rPr>
        <w:t>.</w:t>
      </w:r>
    </w:p>
  </w:footnote>
  <w:footnote w:id="46">
    <w:p w14:paraId="494FF03C" w14:textId="0A40E2DE" w:rsidR="007A2316" w:rsidRPr="00652CE5" w:rsidRDefault="007A2316" w:rsidP="00391D49">
      <w:pPr>
        <w:spacing w:line="240" w:lineRule="auto"/>
        <w:ind w:left="284" w:hanging="284"/>
        <w:rPr>
          <w:sz w:val="18"/>
          <w:szCs w:val="18"/>
          <w:vertAlign w:val="superscript"/>
        </w:rPr>
      </w:pPr>
      <w:r w:rsidRPr="00652CE5">
        <w:rPr>
          <w:rStyle w:val="FootnoteReference"/>
          <w:rFonts w:ascii="Arial" w:eastAsia="Arial" w:hAnsi="Arial" w:cs="Arial"/>
          <w:sz w:val="18"/>
          <w:szCs w:val="18"/>
        </w:rPr>
        <w:footnoteRef/>
      </w:r>
      <w:r w:rsidRPr="00652CE5">
        <w:rPr>
          <w:sz w:val="18"/>
          <w:szCs w:val="18"/>
        </w:rPr>
        <w:t xml:space="preserve"> </w:t>
      </w:r>
      <w:r w:rsidR="00391D49">
        <w:rPr>
          <w:sz w:val="18"/>
          <w:szCs w:val="18"/>
        </w:rPr>
        <w:tab/>
      </w:r>
      <w:r w:rsidRPr="00D72A6B">
        <w:rPr>
          <w:i/>
          <w:iCs/>
          <w:sz w:val="18"/>
          <w:szCs w:val="18"/>
        </w:rPr>
        <w:t>Essential Services Commission Act 2001</w:t>
      </w:r>
      <w:r w:rsidRPr="00652CE5">
        <w:rPr>
          <w:sz w:val="18"/>
          <w:szCs w:val="18"/>
        </w:rPr>
        <w:t xml:space="preserve">, s. 33(3). </w:t>
      </w:r>
    </w:p>
  </w:footnote>
  <w:footnote w:id="47">
    <w:p w14:paraId="1AC00EC2" w14:textId="764C03BC" w:rsidR="007A2316" w:rsidRDefault="007A2316" w:rsidP="00391D49">
      <w:pPr>
        <w:spacing w:line="240" w:lineRule="auto"/>
        <w:ind w:left="284" w:hanging="284"/>
        <w:rPr>
          <w:color w:val="000000"/>
          <w:sz w:val="18"/>
          <w:szCs w:val="18"/>
          <w:vertAlign w:val="superscript"/>
        </w:rPr>
      </w:pPr>
      <w:r>
        <w:rPr>
          <w:rStyle w:val="FootnoteReference"/>
          <w:rFonts w:ascii="Arial" w:eastAsia="Arial" w:hAnsi="Arial" w:cs="Arial"/>
          <w:color w:val="000000"/>
          <w:sz w:val="18"/>
          <w:szCs w:val="18"/>
        </w:rPr>
        <w:footnoteRef/>
      </w:r>
      <w:r>
        <w:rPr>
          <w:sz w:val="18"/>
          <w:szCs w:val="18"/>
          <w:vertAlign w:val="superscript"/>
        </w:rPr>
        <w:t xml:space="preserve"> </w:t>
      </w:r>
      <w:r w:rsidR="00391D49">
        <w:rPr>
          <w:sz w:val="18"/>
          <w:szCs w:val="18"/>
          <w:vertAlign w:val="superscript"/>
        </w:rPr>
        <w:tab/>
      </w:r>
      <w:r w:rsidRPr="00D72A6B">
        <w:rPr>
          <w:i/>
          <w:iCs/>
          <w:sz w:val="18"/>
          <w:szCs w:val="18"/>
        </w:rPr>
        <w:t>Essential Services Commission Act 2001</w:t>
      </w:r>
      <w:r>
        <w:rPr>
          <w:sz w:val="18"/>
          <w:szCs w:val="18"/>
        </w:rPr>
        <w:t xml:space="preserve">, s. 33(4). </w:t>
      </w:r>
    </w:p>
  </w:footnote>
  <w:footnote w:id="48">
    <w:p w14:paraId="5502DD9A" w14:textId="1EFAE4B2" w:rsidR="007A2316" w:rsidRPr="000A7473" w:rsidRDefault="007A2316" w:rsidP="00391D49">
      <w:pPr>
        <w:pStyle w:val="FootnoteText"/>
        <w:ind w:left="284" w:hanging="284"/>
        <w:rPr>
          <w:lang w:val="en-GB"/>
        </w:rPr>
      </w:pPr>
      <w:r>
        <w:rPr>
          <w:rStyle w:val="FootnoteReference"/>
        </w:rPr>
        <w:footnoteRef/>
      </w:r>
      <w:r>
        <w:t xml:space="preserve"> </w:t>
      </w:r>
      <w:r w:rsidR="00391D49">
        <w:tab/>
      </w:r>
      <w:r w:rsidRPr="00D72A6B">
        <w:rPr>
          <w:i/>
          <w:iCs/>
        </w:rPr>
        <w:t>Transport Integration Act 2010</w:t>
      </w:r>
      <w:r>
        <w:t xml:space="preserve">. s. 24(1). </w:t>
      </w:r>
      <w:r w:rsidRPr="00A24F13">
        <w:rPr>
          <w:rFonts w:ascii="Arial" w:eastAsia="Arial" w:hAnsi="Arial" w:cs="Arial"/>
        </w:rPr>
        <w:t>The definition of a transport body under s.</w:t>
      </w:r>
      <w:r w:rsidR="00781593">
        <w:rPr>
          <w:rFonts w:ascii="Arial" w:eastAsia="Arial" w:hAnsi="Arial" w:cs="Arial"/>
        </w:rPr>
        <w:t xml:space="preserve"> </w:t>
      </w:r>
      <w:r w:rsidRPr="00A24F13">
        <w:rPr>
          <w:rFonts w:ascii="Arial" w:eastAsia="Arial" w:hAnsi="Arial" w:cs="Arial"/>
        </w:rPr>
        <w:t>3 of the Transport Integration Act includes the Essential Services Commission when it is exercising its functions and powers under any transport legislation in respect of the transport system. Transport legislation is also defined under s.</w:t>
      </w:r>
      <w:r w:rsidR="00781593">
        <w:rPr>
          <w:rFonts w:ascii="Arial" w:eastAsia="Arial" w:hAnsi="Arial" w:cs="Arial"/>
        </w:rPr>
        <w:t xml:space="preserve"> </w:t>
      </w:r>
      <w:r w:rsidRPr="00A24F13">
        <w:rPr>
          <w:rFonts w:ascii="Arial" w:eastAsia="Arial" w:hAnsi="Arial" w:cs="Arial"/>
        </w:rPr>
        <w:t xml:space="preserve">3 to include the </w:t>
      </w:r>
      <w:r w:rsidRPr="00DB216C">
        <w:rPr>
          <w:rFonts w:ascii="Arial" w:eastAsia="Arial" w:hAnsi="Arial" w:cs="Arial"/>
          <w:i/>
          <w:iCs/>
        </w:rPr>
        <w:t xml:space="preserve">Commercial Passenger Vehicle Industry Act 2017. </w:t>
      </w:r>
      <w:r w:rsidRPr="00A24F13">
        <w:rPr>
          <w:rFonts w:ascii="Arial" w:eastAsia="Arial" w:hAnsi="Arial" w:cs="Arial"/>
        </w:rPr>
        <w:t xml:space="preserve">Transport System is also defined under s. 3 to mean all components which make up the system for moving persons and goods, including the services components including passenger, </w:t>
      </w:r>
      <w:proofErr w:type="gramStart"/>
      <w:r w:rsidRPr="00A24F13">
        <w:rPr>
          <w:rFonts w:ascii="Arial" w:eastAsia="Arial" w:hAnsi="Arial" w:cs="Arial"/>
        </w:rPr>
        <w:t>freight</w:t>
      </w:r>
      <w:proofErr w:type="gramEnd"/>
      <w:r w:rsidRPr="00A24F13">
        <w:rPr>
          <w:rFonts w:ascii="Arial" w:eastAsia="Arial" w:hAnsi="Arial" w:cs="Arial"/>
        </w:rPr>
        <w:t xml:space="preserve"> and any other transport services to move persons and goods</w:t>
      </w:r>
      <w:r>
        <w:rPr>
          <w:rFonts w:ascii="Arial" w:eastAsia="Arial" w:hAnsi="Arial" w:cs="Arial"/>
        </w:rPr>
        <w:t>.</w:t>
      </w:r>
    </w:p>
  </w:footnote>
  <w:footnote w:id="49">
    <w:p w14:paraId="69FC2E77" w14:textId="6C80EFC3" w:rsidR="007A2316" w:rsidRPr="00C01AD0" w:rsidRDefault="007A2316" w:rsidP="00391D49">
      <w:pPr>
        <w:pStyle w:val="FootnoteText"/>
        <w:ind w:left="284" w:hanging="284"/>
      </w:pPr>
      <w:r w:rsidRPr="00424C73">
        <w:rPr>
          <w:rStyle w:val="FootnoteReference"/>
        </w:rPr>
        <w:footnoteRef/>
      </w:r>
      <w:r w:rsidRPr="00C01AD0">
        <w:t xml:space="preserve"> </w:t>
      </w:r>
      <w:r w:rsidR="00391D49">
        <w:tab/>
      </w:r>
      <w:r w:rsidRPr="00DB216C">
        <w:rPr>
          <w:i/>
          <w:iCs/>
        </w:rPr>
        <w:t>Transport Integration Act 2010</w:t>
      </w:r>
      <w:r w:rsidRPr="00C01AD0">
        <w:t>, s</w:t>
      </w:r>
      <w:r>
        <w:t>s.</w:t>
      </w:r>
      <w:r w:rsidRPr="00C01AD0">
        <w:t xml:space="preserve"> 7</w:t>
      </w:r>
      <w:r>
        <w:t>–</w:t>
      </w:r>
      <w:r w:rsidRPr="00C01AD0">
        <w:t>13.</w:t>
      </w:r>
    </w:p>
  </w:footnote>
  <w:footnote w:id="50">
    <w:p w14:paraId="51BB62E6" w14:textId="297AFC4F" w:rsidR="004C0B0E" w:rsidRDefault="004C0B0E" w:rsidP="00391D49">
      <w:pPr>
        <w:pStyle w:val="FootnoteText"/>
        <w:ind w:left="284" w:hanging="284"/>
      </w:pPr>
      <w:r>
        <w:rPr>
          <w:rStyle w:val="FootnoteReference"/>
        </w:rPr>
        <w:footnoteRef/>
      </w:r>
      <w:r>
        <w:t xml:space="preserve"> </w:t>
      </w:r>
      <w:r w:rsidR="00391D49">
        <w:tab/>
      </w:r>
      <w:r>
        <w:t xml:space="preserve">These include, the principle of integrated decision making, triple bottom line assessment, equity, transport system user perspective, precautionary principle, stakeholder engagement and community participation and transparency. </w:t>
      </w:r>
    </w:p>
  </w:footnote>
  <w:footnote w:id="51">
    <w:p w14:paraId="367C2D47" w14:textId="6E2E2EE6" w:rsidR="007A2316" w:rsidRDefault="007A2316" w:rsidP="00391D49">
      <w:pPr>
        <w:pStyle w:val="FootnoteText"/>
        <w:ind w:left="284" w:hanging="284"/>
        <w:rPr>
          <w:rFonts w:ascii="Arial" w:eastAsia="Arial" w:hAnsi="Arial" w:cs="Arial"/>
          <w:color w:val="000000"/>
          <w:szCs w:val="18"/>
          <w:vertAlign w:val="superscript"/>
        </w:rPr>
      </w:pPr>
      <w:r>
        <w:rPr>
          <w:rStyle w:val="FootnoteReference"/>
          <w:rFonts w:ascii="Arial" w:eastAsia="Arial" w:hAnsi="Arial" w:cs="Arial"/>
          <w:color w:val="000000"/>
          <w:szCs w:val="18"/>
        </w:rPr>
        <w:footnoteRef/>
      </w:r>
      <w:r>
        <w:rPr>
          <w:rFonts w:ascii="Arial" w:eastAsia="Arial" w:hAnsi="Arial" w:cs="Arial"/>
          <w:szCs w:val="18"/>
        </w:rPr>
        <w:t xml:space="preserve"> </w:t>
      </w:r>
      <w:r w:rsidR="00391D49">
        <w:rPr>
          <w:rFonts w:ascii="Arial" w:eastAsia="Arial" w:hAnsi="Arial" w:cs="Arial"/>
          <w:szCs w:val="18"/>
        </w:rPr>
        <w:tab/>
      </w:r>
      <w:r w:rsidRPr="001121D3">
        <w:rPr>
          <w:rFonts w:ascii="Arial" w:eastAsia="Arial" w:hAnsi="Arial" w:cs="Arial"/>
          <w:i/>
          <w:iCs/>
          <w:szCs w:val="18"/>
        </w:rPr>
        <w:t>Transport Integration Act 2010</w:t>
      </w:r>
      <w:r>
        <w:rPr>
          <w:rFonts w:ascii="Arial" w:eastAsia="Arial" w:hAnsi="Arial" w:cs="Arial"/>
          <w:szCs w:val="18"/>
        </w:rPr>
        <w:t>, s</w:t>
      </w:r>
      <w:r w:rsidRPr="00FD5E8B">
        <w:rPr>
          <w:rFonts w:ascii="Arial" w:eastAsia="Arial" w:hAnsi="Arial" w:cs="Arial"/>
          <w:color w:val="000000" w:themeColor="text1"/>
          <w:szCs w:val="18"/>
        </w:rPr>
        <w:t>s</w:t>
      </w:r>
      <w:r>
        <w:rPr>
          <w:rFonts w:ascii="Arial" w:eastAsia="Arial" w:hAnsi="Arial" w:cs="Arial"/>
          <w:color w:val="B5082E"/>
          <w:szCs w:val="18"/>
        </w:rPr>
        <w:t xml:space="preserve">. </w:t>
      </w:r>
      <w:r>
        <w:rPr>
          <w:rFonts w:ascii="Arial" w:eastAsia="Arial" w:hAnsi="Arial" w:cs="Arial"/>
          <w:szCs w:val="18"/>
        </w:rPr>
        <w:t>26–27.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AAEA" w14:textId="06B002A9"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06D0A382" wp14:editId="2962D0FC">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D42C35" id="Group 13"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3C0A199B" wp14:editId="6A85271F">
          <wp:simplePos x="0" y="0"/>
          <wp:positionH relativeFrom="page">
            <wp:posOffset>720090</wp:posOffset>
          </wp:positionH>
          <wp:positionV relativeFrom="page">
            <wp:posOffset>720090</wp:posOffset>
          </wp:positionV>
          <wp:extent cx="2656800" cy="82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18DB"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113ACBF9" wp14:editId="17AFBEAA">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2ABA3D" id="Group 29"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4C3243DE" wp14:editId="3F6279C2">
          <wp:simplePos x="0" y="0"/>
          <wp:positionH relativeFrom="page">
            <wp:posOffset>720090</wp:posOffset>
          </wp:positionH>
          <wp:positionV relativeFrom="page">
            <wp:posOffset>720090</wp:posOffset>
          </wp:positionV>
          <wp:extent cx="2656800" cy="82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B589" w14:textId="25912B30" w:rsidR="003A30F3" w:rsidRPr="00633068" w:rsidRDefault="003A30F3" w:rsidP="00633068">
    <w:pPr>
      <w:pStyle w:val="Header"/>
      <w:tabs>
        <w:tab w:val="clear" w:pos="4680"/>
        <w:tab w:val="clear" w:pos="9360"/>
        <w:tab w:val="left" w:pos="22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A70C" w14:textId="0257B838" w:rsidR="003A30F3" w:rsidRPr="00633068" w:rsidRDefault="003A30F3" w:rsidP="00633068">
    <w:pPr>
      <w:pStyle w:val="Header"/>
      <w:tabs>
        <w:tab w:val="clear" w:pos="4680"/>
        <w:tab w:val="clear" w:pos="9360"/>
        <w:tab w:val="left" w:pos="2236"/>
      </w:tabs>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hybridMultilevel"/>
    <w:tmpl w:val="0000000C"/>
    <w:lvl w:ilvl="0" w:tplc="BC22E1BC">
      <w:start w:val="1"/>
      <w:numFmt w:val="lowerLetter"/>
      <w:lvlText w:val="(%1)"/>
      <w:lvlJc w:val="left"/>
      <w:pPr>
        <w:ind w:left="0" w:firstLine="0"/>
      </w:pPr>
      <w:rPr>
        <w:rFonts w:ascii="Arial" w:eastAsia="Arial" w:hAnsi="Arial" w:cs="Arial"/>
        <w:b w:val="0"/>
        <w:bCs w:val="0"/>
        <w:i w:val="0"/>
        <w:iCs w:val="0"/>
        <w:smallCaps w:val="0"/>
        <w:color w:val="000000"/>
        <w:sz w:val="20"/>
        <w:szCs w:val="20"/>
      </w:rPr>
    </w:lvl>
    <w:lvl w:ilvl="1" w:tplc="75D4D732">
      <w:start w:val="1"/>
      <w:numFmt w:val="bullet"/>
      <w:lvlText w:val="o"/>
      <w:lvlJc w:val="left"/>
      <w:pPr>
        <w:tabs>
          <w:tab w:val="num" w:pos="1440"/>
        </w:tabs>
        <w:ind w:left="1440" w:hanging="360"/>
      </w:pPr>
      <w:rPr>
        <w:rFonts w:ascii="Courier New" w:hAnsi="Courier New"/>
      </w:rPr>
    </w:lvl>
    <w:lvl w:ilvl="2" w:tplc="1C3EBE18">
      <w:start w:val="1"/>
      <w:numFmt w:val="bullet"/>
      <w:lvlText w:val=""/>
      <w:lvlJc w:val="left"/>
      <w:pPr>
        <w:tabs>
          <w:tab w:val="num" w:pos="2160"/>
        </w:tabs>
        <w:ind w:left="2160" w:hanging="360"/>
      </w:pPr>
      <w:rPr>
        <w:rFonts w:ascii="Wingdings" w:hAnsi="Wingdings"/>
      </w:rPr>
    </w:lvl>
    <w:lvl w:ilvl="3" w:tplc="509AA6F8">
      <w:start w:val="1"/>
      <w:numFmt w:val="bullet"/>
      <w:lvlText w:val=""/>
      <w:lvlJc w:val="left"/>
      <w:pPr>
        <w:tabs>
          <w:tab w:val="num" w:pos="2880"/>
        </w:tabs>
        <w:ind w:left="2880" w:hanging="360"/>
      </w:pPr>
      <w:rPr>
        <w:rFonts w:ascii="Symbol" w:hAnsi="Symbol"/>
      </w:rPr>
    </w:lvl>
    <w:lvl w:ilvl="4" w:tplc="14D0C4B2">
      <w:start w:val="1"/>
      <w:numFmt w:val="bullet"/>
      <w:lvlText w:val="o"/>
      <w:lvlJc w:val="left"/>
      <w:pPr>
        <w:tabs>
          <w:tab w:val="num" w:pos="3600"/>
        </w:tabs>
        <w:ind w:left="3600" w:hanging="360"/>
      </w:pPr>
      <w:rPr>
        <w:rFonts w:ascii="Courier New" w:hAnsi="Courier New"/>
      </w:rPr>
    </w:lvl>
    <w:lvl w:ilvl="5" w:tplc="574EA860">
      <w:start w:val="1"/>
      <w:numFmt w:val="bullet"/>
      <w:lvlText w:val=""/>
      <w:lvlJc w:val="left"/>
      <w:pPr>
        <w:tabs>
          <w:tab w:val="num" w:pos="4320"/>
        </w:tabs>
        <w:ind w:left="4320" w:hanging="360"/>
      </w:pPr>
      <w:rPr>
        <w:rFonts w:ascii="Wingdings" w:hAnsi="Wingdings"/>
      </w:rPr>
    </w:lvl>
    <w:lvl w:ilvl="6" w:tplc="E722A6B0">
      <w:start w:val="1"/>
      <w:numFmt w:val="bullet"/>
      <w:lvlText w:val=""/>
      <w:lvlJc w:val="left"/>
      <w:pPr>
        <w:tabs>
          <w:tab w:val="num" w:pos="5040"/>
        </w:tabs>
        <w:ind w:left="5040" w:hanging="360"/>
      </w:pPr>
      <w:rPr>
        <w:rFonts w:ascii="Symbol" w:hAnsi="Symbol"/>
      </w:rPr>
    </w:lvl>
    <w:lvl w:ilvl="7" w:tplc="37DC44B8">
      <w:start w:val="1"/>
      <w:numFmt w:val="bullet"/>
      <w:lvlText w:val="o"/>
      <w:lvlJc w:val="left"/>
      <w:pPr>
        <w:tabs>
          <w:tab w:val="num" w:pos="5760"/>
        </w:tabs>
        <w:ind w:left="5760" w:hanging="360"/>
      </w:pPr>
      <w:rPr>
        <w:rFonts w:ascii="Courier New" w:hAnsi="Courier New"/>
      </w:rPr>
    </w:lvl>
    <w:lvl w:ilvl="8" w:tplc="B93E13D4">
      <w:start w:val="1"/>
      <w:numFmt w:val="bullet"/>
      <w:lvlText w:val=""/>
      <w:lvlJc w:val="left"/>
      <w:pPr>
        <w:tabs>
          <w:tab w:val="num" w:pos="6480"/>
        </w:tabs>
        <w:ind w:left="6480" w:hanging="360"/>
      </w:pPr>
      <w:rPr>
        <w:rFonts w:ascii="Wingdings" w:hAnsi="Wingdings"/>
      </w:rPr>
    </w:lvl>
  </w:abstractNum>
  <w:abstractNum w:abstractNumId="11" w15:restartNumberingAfterBreak="0">
    <w:nsid w:val="0A046C50"/>
    <w:multiLevelType w:val="hybridMultilevel"/>
    <w:tmpl w:val="65D06958"/>
    <w:lvl w:ilvl="0" w:tplc="B1A45B58">
      <w:start w:val="3"/>
      <w:numFmt w:val="decimal"/>
      <w:pStyle w:val="Pull-outListNumber1"/>
      <w:lvlText w:val="%1."/>
      <w:lvlJc w:val="left"/>
      <w:pPr>
        <w:ind w:left="918" w:hanging="360"/>
      </w:pPr>
      <w:rPr>
        <w:rFonts w:hint="default"/>
      </w:rPr>
    </w:lvl>
    <w:lvl w:ilvl="1" w:tplc="0C090019" w:tentative="1">
      <w:start w:val="1"/>
      <w:numFmt w:val="lowerLetter"/>
      <w:lvlText w:val="%2."/>
      <w:lvlJc w:val="left"/>
      <w:pPr>
        <w:ind w:left="1638" w:hanging="360"/>
      </w:pPr>
    </w:lvl>
    <w:lvl w:ilvl="2" w:tplc="0C09001B">
      <w:start w:val="1"/>
      <w:numFmt w:val="lowerRoman"/>
      <w:lvlText w:val="%3."/>
      <w:lvlJc w:val="right"/>
      <w:pPr>
        <w:ind w:left="2358" w:hanging="180"/>
      </w:pPr>
    </w:lvl>
    <w:lvl w:ilvl="3" w:tplc="0C09000F" w:tentative="1">
      <w:start w:val="1"/>
      <w:numFmt w:val="decimal"/>
      <w:lvlText w:val="%4."/>
      <w:lvlJc w:val="left"/>
      <w:pPr>
        <w:ind w:left="3078" w:hanging="360"/>
      </w:pPr>
    </w:lvl>
    <w:lvl w:ilvl="4" w:tplc="0C090019" w:tentative="1">
      <w:start w:val="1"/>
      <w:numFmt w:val="lowerLetter"/>
      <w:lvlText w:val="%5."/>
      <w:lvlJc w:val="left"/>
      <w:pPr>
        <w:ind w:left="3798" w:hanging="360"/>
      </w:pPr>
    </w:lvl>
    <w:lvl w:ilvl="5" w:tplc="0C09001B" w:tentative="1">
      <w:start w:val="1"/>
      <w:numFmt w:val="lowerRoman"/>
      <w:lvlText w:val="%6."/>
      <w:lvlJc w:val="right"/>
      <w:pPr>
        <w:ind w:left="4518" w:hanging="180"/>
      </w:pPr>
    </w:lvl>
    <w:lvl w:ilvl="6" w:tplc="0C09000F" w:tentative="1">
      <w:start w:val="1"/>
      <w:numFmt w:val="decimal"/>
      <w:lvlText w:val="%7."/>
      <w:lvlJc w:val="left"/>
      <w:pPr>
        <w:ind w:left="5238" w:hanging="360"/>
      </w:pPr>
    </w:lvl>
    <w:lvl w:ilvl="7" w:tplc="0C090019" w:tentative="1">
      <w:start w:val="1"/>
      <w:numFmt w:val="lowerLetter"/>
      <w:lvlText w:val="%8."/>
      <w:lvlJc w:val="left"/>
      <w:pPr>
        <w:ind w:left="5958" w:hanging="360"/>
      </w:pPr>
    </w:lvl>
    <w:lvl w:ilvl="8" w:tplc="0C09001B" w:tentative="1">
      <w:start w:val="1"/>
      <w:numFmt w:val="lowerRoman"/>
      <w:lvlText w:val="%9."/>
      <w:lvlJc w:val="right"/>
      <w:pPr>
        <w:ind w:left="6678" w:hanging="180"/>
      </w:pPr>
    </w:lvl>
  </w:abstractNum>
  <w:abstractNum w:abstractNumId="1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8758AE"/>
    <w:multiLevelType w:val="hybridMultilevel"/>
    <w:tmpl w:val="628C2C3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B3C049B"/>
    <w:multiLevelType w:val="multilevel"/>
    <w:tmpl w:val="6D9A2BC2"/>
    <w:numStyleLink w:val="NumberedHeadings"/>
  </w:abstractNum>
  <w:abstractNum w:abstractNumId="18" w15:restartNumberingAfterBreak="0">
    <w:nsid w:val="1E8052EF"/>
    <w:multiLevelType w:val="multilevel"/>
    <w:tmpl w:val="DF4A9966"/>
    <w:numStyleLink w:val="TableBullets"/>
  </w:abstractNum>
  <w:abstractNum w:abstractNumId="19"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391238"/>
    <w:multiLevelType w:val="multilevel"/>
    <w:tmpl w:val="6D9A2BC2"/>
    <w:numStyleLink w:val="NumberedHeadings"/>
  </w:abstractNum>
  <w:abstractNum w:abstractNumId="21" w15:restartNumberingAfterBreak="0">
    <w:nsid w:val="2DC47970"/>
    <w:multiLevelType w:val="hybridMultilevel"/>
    <w:tmpl w:val="D592F7D6"/>
    <w:lvl w:ilvl="0" w:tplc="1CF2E5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132DD6"/>
    <w:multiLevelType w:val="hybridMultilevel"/>
    <w:tmpl w:val="47AA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9E348D"/>
    <w:multiLevelType w:val="multilevel"/>
    <w:tmpl w:val="3D66CBA2"/>
    <w:numStyleLink w:val="CustomNumberlist"/>
  </w:abstractNum>
  <w:abstractNum w:abstractNumId="24" w15:restartNumberingAfterBreak="0">
    <w:nsid w:val="39A54066"/>
    <w:multiLevelType w:val="hybridMultilevel"/>
    <w:tmpl w:val="ACFE0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AE44589"/>
    <w:multiLevelType w:val="hybridMultilevel"/>
    <w:tmpl w:val="BAB2D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1C3323"/>
    <w:multiLevelType w:val="hybridMultilevel"/>
    <w:tmpl w:val="548CF0B4"/>
    <w:lvl w:ilvl="0" w:tplc="1CF2E5F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61F35FD"/>
    <w:multiLevelType w:val="hybridMultilevel"/>
    <w:tmpl w:val="9C54E90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05317"/>
    <w:multiLevelType w:val="multilevel"/>
    <w:tmpl w:val="3D66CBA2"/>
    <w:numStyleLink w:val="CustomNumberlist"/>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732D36"/>
    <w:multiLevelType w:val="multilevel"/>
    <w:tmpl w:val="9140F12C"/>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C50D6"/>
    <w:multiLevelType w:val="hybridMultilevel"/>
    <w:tmpl w:val="B2363F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56447A"/>
    <w:multiLevelType w:val="hybridMultilevel"/>
    <w:tmpl w:val="59940AF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0D4C03"/>
    <w:multiLevelType w:val="hybridMultilevel"/>
    <w:tmpl w:val="B11AB534"/>
    <w:lvl w:ilvl="0" w:tplc="1CF2E5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0135712">
    <w:abstractNumId w:val="27"/>
  </w:num>
  <w:num w:numId="2" w16cid:durableId="1011495033">
    <w:abstractNumId w:val="19"/>
  </w:num>
  <w:num w:numId="3" w16cid:durableId="1034042019">
    <w:abstractNumId w:val="28"/>
  </w:num>
  <w:num w:numId="4" w16cid:durableId="555287133">
    <w:abstractNumId w:val="36"/>
  </w:num>
  <w:num w:numId="5" w16cid:durableId="555549504">
    <w:abstractNumId w:val="18"/>
  </w:num>
  <w:num w:numId="6" w16cid:durableId="1749687851">
    <w:abstractNumId w:val="12"/>
  </w:num>
  <w:num w:numId="7" w16cid:durableId="665984960">
    <w:abstractNumId w:val="37"/>
  </w:num>
  <w:num w:numId="8" w16cid:durableId="6287532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4358450">
    <w:abstractNumId w:val="11"/>
  </w:num>
  <w:num w:numId="10" w16cid:durableId="57168092">
    <w:abstractNumId w:val="11"/>
  </w:num>
  <w:num w:numId="11" w16cid:durableId="1793330259">
    <w:abstractNumId w:val="9"/>
  </w:num>
  <w:num w:numId="12" w16cid:durableId="1971472179">
    <w:abstractNumId w:val="7"/>
  </w:num>
  <w:num w:numId="13" w16cid:durableId="732124889">
    <w:abstractNumId w:val="6"/>
  </w:num>
  <w:num w:numId="14" w16cid:durableId="2137260683">
    <w:abstractNumId w:val="5"/>
  </w:num>
  <w:num w:numId="15" w16cid:durableId="715273037">
    <w:abstractNumId w:val="4"/>
  </w:num>
  <w:num w:numId="16" w16cid:durableId="1442148141">
    <w:abstractNumId w:val="8"/>
  </w:num>
  <w:num w:numId="17" w16cid:durableId="1853761133">
    <w:abstractNumId w:val="3"/>
  </w:num>
  <w:num w:numId="18" w16cid:durableId="1421756136">
    <w:abstractNumId w:val="2"/>
  </w:num>
  <w:num w:numId="19" w16cid:durableId="1796947228">
    <w:abstractNumId w:val="1"/>
  </w:num>
  <w:num w:numId="20" w16cid:durableId="8487629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9456575">
    <w:abstractNumId w:val="0"/>
  </w:num>
  <w:num w:numId="22" w16cid:durableId="1776901887">
    <w:abstractNumId w:val="20"/>
  </w:num>
  <w:num w:numId="23" w16cid:durableId="725298188">
    <w:abstractNumId w:val="13"/>
  </w:num>
  <w:num w:numId="24" w16cid:durableId="346955143">
    <w:abstractNumId w:val="23"/>
  </w:num>
  <w:num w:numId="25" w16cid:durableId="2118134677">
    <w:abstractNumId w:val="16"/>
  </w:num>
  <w:num w:numId="26" w16cid:durableId="651059298">
    <w:abstractNumId w:val="32"/>
  </w:num>
  <w:num w:numId="27" w16cid:durableId="1575437252">
    <w:abstractNumId w:val="35"/>
  </w:num>
  <w:num w:numId="28" w16cid:durableId="1906333333">
    <w:abstractNumId w:val="14"/>
  </w:num>
  <w:num w:numId="29" w16cid:durableId="1357652674">
    <w:abstractNumId w:val="38"/>
  </w:num>
  <w:num w:numId="30" w16cid:durableId="825898162">
    <w:abstractNumId w:val="34"/>
  </w:num>
  <w:num w:numId="31" w16cid:durableId="1133862321">
    <w:abstractNumId w:val="26"/>
  </w:num>
  <w:num w:numId="32" w16cid:durableId="746028893">
    <w:abstractNumId w:val="25"/>
  </w:num>
  <w:num w:numId="33" w16cid:durableId="1434125885">
    <w:abstractNumId w:val="17"/>
  </w:num>
  <w:num w:numId="34" w16cid:durableId="166944982">
    <w:abstractNumId w:val="29"/>
  </w:num>
  <w:num w:numId="35" w16cid:durableId="1434135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0146034">
    <w:abstractNumId w:val="31"/>
  </w:num>
  <w:num w:numId="37" w16cid:durableId="1002666441">
    <w:abstractNumId w:val="21"/>
  </w:num>
  <w:num w:numId="38" w16cid:durableId="5316937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09430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01820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7323222">
    <w:abstractNumId w:val="41"/>
  </w:num>
  <w:num w:numId="42" w16cid:durableId="1927373899">
    <w:abstractNumId w:val="15"/>
  </w:num>
  <w:num w:numId="43" w16cid:durableId="1273636725">
    <w:abstractNumId w:val="30"/>
  </w:num>
  <w:num w:numId="44" w16cid:durableId="2083287720">
    <w:abstractNumId w:val="24"/>
  </w:num>
  <w:num w:numId="45" w16cid:durableId="1719933753">
    <w:abstractNumId w:val="39"/>
  </w:num>
  <w:num w:numId="46" w16cid:durableId="248078033">
    <w:abstractNumId w:val="40"/>
  </w:num>
  <w:num w:numId="47" w16cid:durableId="812332715">
    <w:abstractNumId w:val="33"/>
  </w:num>
  <w:num w:numId="48" w16cid:durableId="55058990">
    <w:abstractNumId w:val="22"/>
  </w:num>
  <w:num w:numId="49" w16cid:durableId="1698893265">
    <w:abstractNumId w:val="10"/>
  </w:num>
  <w:num w:numId="50" w16cid:durableId="98649634">
    <w:abstractNumId w:val="11"/>
    <w:lvlOverride w:ilvl="0">
      <w:startOverride w:val="1"/>
    </w:lvlOverride>
  </w:num>
  <w:num w:numId="51" w16cid:durableId="17051303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91817750">
    <w:abstractNumId w:val="11"/>
    <w:lvlOverride w:ilvl="0">
      <w:startOverride w:val="3"/>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6D"/>
    <w:rsid w:val="0000066A"/>
    <w:rsid w:val="00000C83"/>
    <w:rsid w:val="00000DD4"/>
    <w:rsid w:val="000011B5"/>
    <w:rsid w:val="00001B77"/>
    <w:rsid w:val="00001C63"/>
    <w:rsid w:val="000028D0"/>
    <w:rsid w:val="00002DAE"/>
    <w:rsid w:val="000035AC"/>
    <w:rsid w:val="000036D2"/>
    <w:rsid w:val="00003FEF"/>
    <w:rsid w:val="000046BD"/>
    <w:rsid w:val="00005A74"/>
    <w:rsid w:val="0000648C"/>
    <w:rsid w:val="00006A6F"/>
    <w:rsid w:val="00006FDB"/>
    <w:rsid w:val="00007811"/>
    <w:rsid w:val="00007E4F"/>
    <w:rsid w:val="0001003B"/>
    <w:rsid w:val="00010DB6"/>
    <w:rsid w:val="000112A0"/>
    <w:rsid w:val="00011822"/>
    <w:rsid w:val="0001228B"/>
    <w:rsid w:val="00012434"/>
    <w:rsid w:val="00012D7F"/>
    <w:rsid w:val="000137BB"/>
    <w:rsid w:val="0001391D"/>
    <w:rsid w:val="00013A46"/>
    <w:rsid w:val="00013B32"/>
    <w:rsid w:val="00013BE9"/>
    <w:rsid w:val="000144CD"/>
    <w:rsid w:val="0001532C"/>
    <w:rsid w:val="00015588"/>
    <w:rsid w:val="000165D2"/>
    <w:rsid w:val="00016743"/>
    <w:rsid w:val="00017876"/>
    <w:rsid w:val="00017889"/>
    <w:rsid w:val="00017E7B"/>
    <w:rsid w:val="00020773"/>
    <w:rsid w:val="00020E21"/>
    <w:rsid w:val="000227E7"/>
    <w:rsid w:val="00023173"/>
    <w:rsid w:val="0002486E"/>
    <w:rsid w:val="00024CF6"/>
    <w:rsid w:val="00025482"/>
    <w:rsid w:val="00026C2A"/>
    <w:rsid w:val="00027887"/>
    <w:rsid w:val="00027B20"/>
    <w:rsid w:val="000320D1"/>
    <w:rsid w:val="00032D16"/>
    <w:rsid w:val="000337A0"/>
    <w:rsid w:val="00033C19"/>
    <w:rsid w:val="000359ED"/>
    <w:rsid w:val="00036FCE"/>
    <w:rsid w:val="000370E8"/>
    <w:rsid w:val="00037C3C"/>
    <w:rsid w:val="00037E5B"/>
    <w:rsid w:val="00040260"/>
    <w:rsid w:val="00041417"/>
    <w:rsid w:val="00041434"/>
    <w:rsid w:val="00041EBB"/>
    <w:rsid w:val="00042C0F"/>
    <w:rsid w:val="00043401"/>
    <w:rsid w:val="0004353D"/>
    <w:rsid w:val="0004372E"/>
    <w:rsid w:val="00043927"/>
    <w:rsid w:val="0004499B"/>
    <w:rsid w:val="00045346"/>
    <w:rsid w:val="000518F3"/>
    <w:rsid w:val="00051C88"/>
    <w:rsid w:val="00051F2A"/>
    <w:rsid w:val="000528E3"/>
    <w:rsid w:val="0005330A"/>
    <w:rsid w:val="00053692"/>
    <w:rsid w:val="00053C70"/>
    <w:rsid w:val="00053EB0"/>
    <w:rsid w:val="00055131"/>
    <w:rsid w:val="00055CDC"/>
    <w:rsid w:val="00056234"/>
    <w:rsid w:val="000566E0"/>
    <w:rsid w:val="00056959"/>
    <w:rsid w:val="00060EB4"/>
    <w:rsid w:val="0006139A"/>
    <w:rsid w:val="000614F8"/>
    <w:rsid w:val="00062889"/>
    <w:rsid w:val="00062AE4"/>
    <w:rsid w:val="00062AED"/>
    <w:rsid w:val="00062D09"/>
    <w:rsid w:val="00062D6F"/>
    <w:rsid w:val="0006403A"/>
    <w:rsid w:val="0006610C"/>
    <w:rsid w:val="00066DF9"/>
    <w:rsid w:val="00066E10"/>
    <w:rsid w:val="00067A67"/>
    <w:rsid w:val="00067DD9"/>
    <w:rsid w:val="00067E8A"/>
    <w:rsid w:val="00070B10"/>
    <w:rsid w:val="0007162B"/>
    <w:rsid w:val="00073EF1"/>
    <w:rsid w:val="00074348"/>
    <w:rsid w:val="0007511D"/>
    <w:rsid w:val="0007526E"/>
    <w:rsid w:val="000754E8"/>
    <w:rsid w:val="000756B5"/>
    <w:rsid w:val="00075E6F"/>
    <w:rsid w:val="00076B7D"/>
    <w:rsid w:val="000775DD"/>
    <w:rsid w:val="0007773C"/>
    <w:rsid w:val="00080D3D"/>
    <w:rsid w:val="00081E6B"/>
    <w:rsid w:val="00081F36"/>
    <w:rsid w:val="00081F76"/>
    <w:rsid w:val="00082BFD"/>
    <w:rsid w:val="000840C7"/>
    <w:rsid w:val="00084724"/>
    <w:rsid w:val="00085145"/>
    <w:rsid w:val="00085554"/>
    <w:rsid w:val="00085942"/>
    <w:rsid w:val="00085B8D"/>
    <w:rsid w:val="00085CB2"/>
    <w:rsid w:val="00085E07"/>
    <w:rsid w:val="000870BF"/>
    <w:rsid w:val="0008713E"/>
    <w:rsid w:val="000903C1"/>
    <w:rsid w:val="00090A7B"/>
    <w:rsid w:val="00090F80"/>
    <w:rsid w:val="000911B7"/>
    <w:rsid w:val="00092811"/>
    <w:rsid w:val="00093855"/>
    <w:rsid w:val="00093B09"/>
    <w:rsid w:val="00096F58"/>
    <w:rsid w:val="0009740E"/>
    <w:rsid w:val="00097455"/>
    <w:rsid w:val="00097513"/>
    <w:rsid w:val="000975C1"/>
    <w:rsid w:val="00097823"/>
    <w:rsid w:val="00097930"/>
    <w:rsid w:val="000A0123"/>
    <w:rsid w:val="000A0359"/>
    <w:rsid w:val="000A0397"/>
    <w:rsid w:val="000A07C9"/>
    <w:rsid w:val="000A0A7F"/>
    <w:rsid w:val="000A0C6C"/>
    <w:rsid w:val="000A11A7"/>
    <w:rsid w:val="000A1292"/>
    <w:rsid w:val="000A1334"/>
    <w:rsid w:val="000A2B41"/>
    <w:rsid w:val="000A30C8"/>
    <w:rsid w:val="000A3C13"/>
    <w:rsid w:val="000A402D"/>
    <w:rsid w:val="000A4A0B"/>
    <w:rsid w:val="000A4CAA"/>
    <w:rsid w:val="000A4E79"/>
    <w:rsid w:val="000A4FDA"/>
    <w:rsid w:val="000A50A7"/>
    <w:rsid w:val="000A59A2"/>
    <w:rsid w:val="000A644C"/>
    <w:rsid w:val="000A744A"/>
    <w:rsid w:val="000A759D"/>
    <w:rsid w:val="000A7FD9"/>
    <w:rsid w:val="000B03C6"/>
    <w:rsid w:val="000B092D"/>
    <w:rsid w:val="000B0DD4"/>
    <w:rsid w:val="000B11B8"/>
    <w:rsid w:val="000B1897"/>
    <w:rsid w:val="000B19E9"/>
    <w:rsid w:val="000B36E2"/>
    <w:rsid w:val="000B3795"/>
    <w:rsid w:val="000B3B18"/>
    <w:rsid w:val="000B3DED"/>
    <w:rsid w:val="000B4289"/>
    <w:rsid w:val="000B4E87"/>
    <w:rsid w:val="000B538D"/>
    <w:rsid w:val="000B54A1"/>
    <w:rsid w:val="000B63AF"/>
    <w:rsid w:val="000B6A38"/>
    <w:rsid w:val="000B6E2C"/>
    <w:rsid w:val="000B7235"/>
    <w:rsid w:val="000B7AB1"/>
    <w:rsid w:val="000C0483"/>
    <w:rsid w:val="000C05EB"/>
    <w:rsid w:val="000C0C47"/>
    <w:rsid w:val="000C11E1"/>
    <w:rsid w:val="000C12D3"/>
    <w:rsid w:val="000C1AF3"/>
    <w:rsid w:val="000C219D"/>
    <w:rsid w:val="000C2DCA"/>
    <w:rsid w:val="000C35CD"/>
    <w:rsid w:val="000C3B33"/>
    <w:rsid w:val="000C4223"/>
    <w:rsid w:val="000C47B0"/>
    <w:rsid w:val="000C4A20"/>
    <w:rsid w:val="000C4C93"/>
    <w:rsid w:val="000C5245"/>
    <w:rsid w:val="000C5312"/>
    <w:rsid w:val="000C5618"/>
    <w:rsid w:val="000C6346"/>
    <w:rsid w:val="000C7A12"/>
    <w:rsid w:val="000D06A6"/>
    <w:rsid w:val="000D078E"/>
    <w:rsid w:val="000D123E"/>
    <w:rsid w:val="000D1EC2"/>
    <w:rsid w:val="000D2035"/>
    <w:rsid w:val="000D2A1D"/>
    <w:rsid w:val="000D2AB3"/>
    <w:rsid w:val="000D2C84"/>
    <w:rsid w:val="000D2E73"/>
    <w:rsid w:val="000D40B8"/>
    <w:rsid w:val="000D40F6"/>
    <w:rsid w:val="000D4547"/>
    <w:rsid w:val="000D494B"/>
    <w:rsid w:val="000D54C3"/>
    <w:rsid w:val="000D5CEE"/>
    <w:rsid w:val="000D5E60"/>
    <w:rsid w:val="000D6270"/>
    <w:rsid w:val="000D652F"/>
    <w:rsid w:val="000D6B48"/>
    <w:rsid w:val="000D7133"/>
    <w:rsid w:val="000D7F42"/>
    <w:rsid w:val="000E0176"/>
    <w:rsid w:val="000E0A50"/>
    <w:rsid w:val="000E19BF"/>
    <w:rsid w:val="000E19C4"/>
    <w:rsid w:val="000E28C3"/>
    <w:rsid w:val="000E2DC0"/>
    <w:rsid w:val="000E3023"/>
    <w:rsid w:val="000E30DA"/>
    <w:rsid w:val="000E432D"/>
    <w:rsid w:val="000E5656"/>
    <w:rsid w:val="000E5DE6"/>
    <w:rsid w:val="000E6188"/>
    <w:rsid w:val="000E7454"/>
    <w:rsid w:val="000E7F49"/>
    <w:rsid w:val="000F0AA6"/>
    <w:rsid w:val="000F0D31"/>
    <w:rsid w:val="000F2CED"/>
    <w:rsid w:val="000F3A1D"/>
    <w:rsid w:val="000F3FE4"/>
    <w:rsid w:val="000F4179"/>
    <w:rsid w:val="000F422D"/>
    <w:rsid w:val="000F429F"/>
    <w:rsid w:val="000F4464"/>
    <w:rsid w:val="000F4615"/>
    <w:rsid w:val="000F463E"/>
    <w:rsid w:val="000F475B"/>
    <w:rsid w:val="000F47B4"/>
    <w:rsid w:val="000F50E0"/>
    <w:rsid w:val="000F5D7B"/>
    <w:rsid w:val="000F63FB"/>
    <w:rsid w:val="000F70CF"/>
    <w:rsid w:val="000F790B"/>
    <w:rsid w:val="00100739"/>
    <w:rsid w:val="0010107B"/>
    <w:rsid w:val="00102C47"/>
    <w:rsid w:val="0010322B"/>
    <w:rsid w:val="001037D5"/>
    <w:rsid w:val="001037E2"/>
    <w:rsid w:val="00103EE1"/>
    <w:rsid w:val="00106310"/>
    <w:rsid w:val="00106608"/>
    <w:rsid w:val="00106FE7"/>
    <w:rsid w:val="00107872"/>
    <w:rsid w:val="001116AC"/>
    <w:rsid w:val="00115331"/>
    <w:rsid w:val="00115554"/>
    <w:rsid w:val="00115750"/>
    <w:rsid w:val="00117589"/>
    <w:rsid w:val="00117634"/>
    <w:rsid w:val="00117DF9"/>
    <w:rsid w:val="0012004A"/>
    <w:rsid w:val="0012037E"/>
    <w:rsid w:val="001206E4"/>
    <w:rsid w:val="0012217E"/>
    <w:rsid w:val="00122808"/>
    <w:rsid w:val="00122AF1"/>
    <w:rsid w:val="001239B1"/>
    <w:rsid w:val="0012440F"/>
    <w:rsid w:val="0012448C"/>
    <w:rsid w:val="00125623"/>
    <w:rsid w:val="00125F53"/>
    <w:rsid w:val="00125FDE"/>
    <w:rsid w:val="001261CB"/>
    <w:rsid w:val="00126D2F"/>
    <w:rsid w:val="001274B6"/>
    <w:rsid w:val="00127AB8"/>
    <w:rsid w:val="001306B6"/>
    <w:rsid w:val="00130A42"/>
    <w:rsid w:val="00131FF7"/>
    <w:rsid w:val="001330A4"/>
    <w:rsid w:val="00133568"/>
    <w:rsid w:val="00133E53"/>
    <w:rsid w:val="00134349"/>
    <w:rsid w:val="001350E9"/>
    <w:rsid w:val="00135175"/>
    <w:rsid w:val="00135294"/>
    <w:rsid w:val="0013621E"/>
    <w:rsid w:val="001362AC"/>
    <w:rsid w:val="00137F65"/>
    <w:rsid w:val="001415BF"/>
    <w:rsid w:val="00141DC4"/>
    <w:rsid w:val="0014218A"/>
    <w:rsid w:val="00142543"/>
    <w:rsid w:val="00142772"/>
    <w:rsid w:val="00143710"/>
    <w:rsid w:val="0014385B"/>
    <w:rsid w:val="0014475E"/>
    <w:rsid w:val="00145920"/>
    <w:rsid w:val="00145D9F"/>
    <w:rsid w:val="00146524"/>
    <w:rsid w:val="00146AE5"/>
    <w:rsid w:val="001474B8"/>
    <w:rsid w:val="00147BDC"/>
    <w:rsid w:val="00150704"/>
    <w:rsid w:val="00150AA7"/>
    <w:rsid w:val="00151A3F"/>
    <w:rsid w:val="00151A80"/>
    <w:rsid w:val="00151AC7"/>
    <w:rsid w:val="00151D65"/>
    <w:rsid w:val="0015203D"/>
    <w:rsid w:val="00152C2D"/>
    <w:rsid w:val="00153081"/>
    <w:rsid w:val="00153504"/>
    <w:rsid w:val="00153FEF"/>
    <w:rsid w:val="0015463B"/>
    <w:rsid w:val="0015492F"/>
    <w:rsid w:val="00154FB0"/>
    <w:rsid w:val="00156BB5"/>
    <w:rsid w:val="00156CD9"/>
    <w:rsid w:val="00156DFA"/>
    <w:rsid w:val="00157CDA"/>
    <w:rsid w:val="00160249"/>
    <w:rsid w:val="00160A34"/>
    <w:rsid w:val="00160CAC"/>
    <w:rsid w:val="00160F48"/>
    <w:rsid w:val="001611A1"/>
    <w:rsid w:val="00161341"/>
    <w:rsid w:val="00161A41"/>
    <w:rsid w:val="00162B66"/>
    <w:rsid w:val="00162C42"/>
    <w:rsid w:val="00162E54"/>
    <w:rsid w:val="0016381F"/>
    <w:rsid w:val="001639E0"/>
    <w:rsid w:val="00164E0E"/>
    <w:rsid w:val="00165620"/>
    <w:rsid w:val="00166095"/>
    <w:rsid w:val="00166E54"/>
    <w:rsid w:val="00167366"/>
    <w:rsid w:val="00167827"/>
    <w:rsid w:val="00167BBF"/>
    <w:rsid w:val="00167CB6"/>
    <w:rsid w:val="001700F9"/>
    <w:rsid w:val="00170304"/>
    <w:rsid w:val="00170E56"/>
    <w:rsid w:val="0017186E"/>
    <w:rsid w:val="00171CFF"/>
    <w:rsid w:val="00173C95"/>
    <w:rsid w:val="0017483E"/>
    <w:rsid w:val="00174D13"/>
    <w:rsid w:val="0017602D"/>
    <w:rsid w:val="001768C5"/>
    <w:rsid w:val="00177397"/>
    <w:rsid w:val="0017774D"/>
    <w:rsid w:val="00180B16"/>
    <w:rsid w:val="00180C4C"/>
    <w:rsid w:val="00180CCA"/>
    <w:rsid w:val="001811AB"/>
    <w:rsid w:val="001819CF"/>
    <w:rsid w:val="00182D17"/>
    <w:rsid w:val="00183205"/>
    <w:rsid w:val="00183B4E"/>
    <w:rsid w:val="00184CEF"/>
    <w:rsid w:val="0018590D"/>
    <w:rsid w:val="00186805"/>
    <w:rsid w:val="001869B0"/>
    <w:rsid w:val="00186BFC"/>
    <w:rsid w:val="00187111"/>
    <w:rsid w:val="001873FC"/>
    <w:rsid w:val="00187ACF"/>
    <w:rsid w:val="00190E1D"/>
    <w:rsid w:val="00191AD0"/>
    <w:rsid w:val="001921EF"/>
    <w:rsid w:val="0019267D"/>
    <w:rsid w:val="001937E3"/>
    <w:rsid w:val="00193B02"/>
    <w:rsid w:val="00193D96"/>
    <w:rsid w:val="00194031"/>
    <w:rsid w:val="00194F50"/>
    <w:rsid w:val="001952E2"/>
    <w:rsid w:val="001959C4"/>
    <w:rsid w:val="001960EC"/>
    <w:rsid w:val="001961C7"/>
    <w:rsid w:val="00197161"/>
    <w:rsid w:val="00197D9C"/>
    <w:rsid w:val="001A19E0"/>
    <w:rsid w:val="001A1A0A"/>
    <w:rsid w:val="001A227F"/>
    <w:rsid w:val="001A2815"/>
    <w:rsid w:val="001A4AA0"/>
    <w:rsid w:val="001A4ACF"/>
    <w:rsid w:val="001A531A"/>
    <w:rsid w:val="001A5841"/>
    <w:rsid w:val="001A611C"/>
    <w:rsid w:val="001A628C"/>
    <w:rsid w:val="001A6485"/>
    <w:rsid w:val="001A6763"/>
    <w:rsid w:val="001A688C"/>
    <w:rsid w:val="001A70F5"/>
    <w:rsid w:val="001A7547"/>
    <w:rsid w:val="001A7633"/>
    <w:rsid w:val="001B33F0"/>
    <w:rsid w:val="001B3FF3"/>
    <w:rsid w:val="001B4254"/>
    <w:rsid w:val="001B42E6"/>
    <w:rsid w:val="001B47D6"/>
    <w:rsid w:val="001B4C5C"/>
    <w:rsid w:val="001B52D6"/>
    <w:rsid w:val="001B574E"/>
    <w:rsid w:val="001B6D45"/>
    <w:rsid w:val="001B6E6F"/>
    <w:rsid w:val="001B6F30"/>
    <w:rsid w:val="001B7D65"/>
    <w:rsid w:val="001C0278"/>
    <w:rsid w:val="001C0800"/>
    <w:rsid w:val="001C0E78"/>
    <w:rsid w:val="001C198F"/>
    <w:rsid w:val="001C1C51"/>
    <w:rsid w:val="001C4F25"/>
    <w:rsid w:val="001C66B5"/>
    <w:rsid w:val="001C733C"/>
    <w:rsid w:val="001C742C"/>
    <w:rsid w:val="001C750A"/>
    <w:rsid w:val="001C751E"/>
    <w:rsid w:val="001D0310"/>
    <w:rsid w:val="001D07CD"/>
    <w:rsid w:val="001D2B45"/>
    <w:rsid w:val="001D2BE7"/>
    <w:rsid w:val="001D3FB6"/>
    <w:rsid w:val="001D4959"/>
    <w:rsid w:val="001D4C1F"/>
    <w:rsid w:val="001D53AC"/>
    <w:rsid w:val="001D65C8"/>
    <w:rsid w:val="001D7EB6"/>
    <w:rsid w:val="001E0275"/>
    <w:rsid w:val="001E038D"/>
    <w:rsid w:val="001E1026"/>
    <w:rsid w:val="001E184D"/>
    <w:rsid w:val="001E1D4E"/>
    <w:rsid w:val="001E28DE"/>
    <w:rsid w:val="001E314A"/>
    <w:rsid w:val="001E3CE3"/>
    <w:rsid w:val="001E4C84"/>
    <w:rsid w:val="001E4F26"/>
    <w:rsid w:val="001E5674"/>
    <w:rsid w:val="001E5F0B"/>
    <w:rsid w:val="001E6A21"/>
    <w:rsid w:val="001F0AE1"/>
    <w:rsid w:val="001F11C8"/>
    <w:rsid w:val="001F2345"/>
    <w:rsid w:val="001F25A9"/>
    <w:rsid w:val="001F2B14"/>
    <w:rsid w:val="001F391F"/>
    <w:rsid w:val="001F3997"/>
    <w:rsid w:val="001F4116"/>
    <w:rsid w:val="001F4ADF"/>
    <w:rsid w:val="001F5272"/>
    <w:rsid w:val="001F56E2"/>
    <w:rsid w:val="001F5989"/>
    <w:rsid w:val="001F5A6A"/>
    <w:rsid w:val="001F64A3"/>
    <w:rsid w:val="001F7AC5"/>
    <w:rsid w:val="00201415"/>
    <w:rsid w:val="002018A0"/>
    <w:rsid w:val="00202468"/>
    <w:rsid w:val="002032A1"/>
    <w:rsid w:val="00204655"/>
    <w:rsid w:val="00204C88"/>
    <w:rsid w:val="00205402"/>
    <w:rsid w:val="00205465"/>
    <w:rsid w:val="002056BA"/>
    <w:rsid w:val="00205FB0"/>
    <w:rsid w:val="00206708"/>
    <w:rsid w:val="00206F92"/>
    <w:rsid w:val="002078FE"/>
    <w:rsid w:val="002104CB"/>
    <w:rsid w:val="0021051E"/>
    <w:rsid w:val="00210AF0"/>
    <w:rsid w:val="00210C46"/>
    <w:rsid w:val="00211740"/>
    <w:rsid w:val="002128B1"/>
    <w:rsid w:val="00212B6A"/>
    <w:rsid w:val="002141E9"/>
    <w:rsid w:val="0021510B"/>
    <w:rsid w:val="002165A2"/>
    <w:rsid w:val="002165D5"/>
    <w:rsid w:val="00216C1F"/>
    <w:rsid w:val="002205EC"/>
    <w:rsid w:val="00220AFC"/>
    <w:rsid w:val="00220C34"/>
    <w:rsid w:val="00220EF1"/>
    <w:rsid w:val="002216BE"/>
    <w:rsid w:val="00223E18"/>
    <w:rsid w:val="002254E0"/>
    <w:rsid w:val="00225520"/>
    <w:rsid w:val="00225F00"/>
    <w:rsid w:val="00225FD6"/>
    <w:rsid w:val="0022708E"/>
    <w:rsid w:val="002277A1"/>
    <w:rsid w:val="00232099"/>
    <w:rsid w:val="00232581"/>
    <w:rsid w:val="00232A6B"/>
    <w:rsid w:val="00233126"/>
    <w:rsid w:val="00233BB5"/>
    <w:rsid w:val="00233D09"/>
    <w:rsid w:val="002358C5"/>
    <w:rsid w:val="00235C12"/>
    <w:rsid w:val="00235C37"/>
    <w:rsid w:val="00236017"/>
    <w:rsid w:val="002364E4"/>
    <w:rsid w:val="00236CA4"/>
    <w:rsid w:val="00236F41"/>
    <w:rsid w:val="0023702F"/>
    <w:rsid w:val="00237839"/>
    <w:rsid w:val="00237A6D"/>
    <w:rsid w:val="00240271"/>
    <w:rsid w:val="0024148B"/>
    <w:rsid w:val="00241C5B"/>
    <w:rsid w:val="002433F5"/>
    <w:rsid w:val="00243851"/>
    <w:rsid w:val="00244D2D"/>
    <w:rsid w:val="00245224"/>
    <w:rsid w:val="0024724A"/>
    <w:rsid w:val="00250E7B"/>
    <w:rsid w:val="00251145"/>
    <w:rsid w:val="002512F2"/>
    <w:rsid w:val="002516F5"/>
    <w:rsid w:val="00251B80"/>
    <w:rsid w:val="002520A2"/>
    <w:rsid w:val="002534F9"/>
    <w:rsid w:val="0025538E"/>
    <w:rsid w:val="00255BB1"/>
    <w:rsid w:val="0025608C"/>
    <w:rsid w:val="002569B7"/>
    <w:rsid w:val="00256BBA"/>
    <w:rsid w:val="00256F77"/>
    <w:rsid w:val="0025730F"/>
    <w:rsid w:val="00257E3C"/>
    <w:rsid w:val="00260EAE"/>
    <w:rsid w:val="00261644"/>
    <w:rsid w:val="002616A2"/>
    <w:rsid w:val="0026223D"/>
    <w:rsid w:val="0026261A"/>
    <w:rsid w:val="00263489"/>
    <w:rsid w:val="002634F5"/>
    <w:rsid w:val="00263AC6"/>
    <w:rsid w:val="00263CDB"/>
    <w:rsid w:val="0026446A"/>
    <w:rsid w:val="00264A15"/>
    <w:rsid w:val="0026619C"/>
    <w:rsid w:val="00266578"/>
    <w:rsid w:val="0026685E"/>
    <w:rsid w:val="00266F3E"/>
    <w:rsid w:val="00267105"/>
    <w:rsid w:val="002675EF"/>
    <w:rsid w:val="002677C6"/>
    <w:rsid w:val="00271302"/>
    <w:rsid w:val="002715DB"/>
    <w:rsid w:val="00271891"/>
    <w:rsid w:val="002718F0"/>
    <w:rsid w:val="0027257C"/>
    <w:rsid w:val="00273340"/>
    <w:rsid w:val="00273606"/>
    <w:rsid w:val="002737EB"/>
    <w:rsid w:val="002748FD"/>
    <w:rsid w:val="002750C4"/>
    <w:rsid w:val="00276EBC"/>
    <w:rsid w:val="00277C7A"/>
    <w:rsid w:val="0028031C"/>
    <w:rsid w:val="002812DF"/>
    <w:rsid w:val="00281E5E"/>
    <w:rsid w:val="00281FBA"/>
    <w:rsid w:val="00282D17"/>
    <w:rsid w:val="002834C8"/>
    <w:rsid w:val="002835E8"/>
    <w:rsid w:val="002836F0"/>
    <w:rsid w:val="002838F6"/>
    <w:rsid w:val="00283C82"/>
    <w:rsid w:val="00283F52"/>
    <w:rsid w:val="00284676"/>
    <w:rsid w:val="00284859"/>
    <w:rsid w:val="00284E09"/>
    <w:rsid w:val="00285D82"/>
    <w:rsid w:val="00286776"/>
    <w:rsid w:val="0028779B"/>
    <w:rsid w:val="002879ED"/>
    <w:rsid w:val="0029021B"/>
    <w:rsid w:val="00292950"/>
    <w:rsid w:val="002941A0"/>
    <w:rsid w:val="0029460D"/>
    <w:rsid w:val="00296681"/>
    <w:rsid w:val="002966CE"/>
    <w:rsid w:val="0029786A"/>
    <w:rsid w:val="00297FBF"/>
    <w:rsid w:val="002A059D"/>
    <w:rsid w:val="002A0753"/>
    <w:rsid w:val="002A08E4"/>
    <w:rsid w:val="002A09C1"/>
    <w:rsid w:val="002A0E11"/>
    <w:rsid w:val="002A1397"/>
    <w:rsid w:val="002A16AA"/>
    <w:rsid w:val="002A1846"/>
    <w:rsid w:val="002A1CF0"/>
    <w:rsid w:val="002A21D5"/>
    <w:rsid w:val="002A4606"/>
    <w:rsid w:val="002A46D2"/>
    <w:rsid w:val="002A500B"/>
    <w:rsid w:val="002A5876"/>
    <w:rsid w:val="002A631E"/>
    <w:rsid w:val="002A799D"/>
    <w:rsid w:val="002B0589"/>
    <w:rsid w:val="002B10E0"/>
    <w:rsid w:val="002B1F25"/>
    <w:rsid w:val="002B24CB"/>
    <w:rsid w:val="002B380E"/>
    <w:rsid w:val="002B38BE"/>
    <w:rsid w:val="002B516F"/>
    <w:rsid w:val="002B53C2"/>
    <w:rsid w:val="002B595C"/>
    <w:rsid w:val="002B63B5"/>
    <w:rsid w:val="002B641D"/>
    <w:rsid w:val="002B65DE"/>
    <w:rsid w:val="002B68C3"/>
    <w:rsid w:val="002B6AEE"/>
    <w:rsid w:val="002B73B2"/>
    <w:rsid w:val="002C0B59"/>
    <w:rsid w:val="002C112D"/>
    <w:rsid w:val="002C12B6"/>
    <w:rsid w:val="002C24B4"/>
    <w:rsid w:val="002C2ADF"/>
    <w:rsid w:val="002C2B5D"/>
    <w:rsid w:val="002C3460"/>
    <w:rsid w:val="002C4E01"/>
    <w:rsid w:val="002C5542"/>
    <w:rsid w:val="002C5A19"/>
    <w:rsid w:val="002C7BAF"/>
    <w:rsid w:val="002D0477"/>
    <w:rsid w:val="002D09CE"/>
    <w:rsid w:val="002D09F6"/>
    <w:rsid w:val="002D16EC"/>
    <w:rsid w:val="002D2CBB"/>
    <w:rsid w:val="002D3084"/>
    <w:rsid w:val="002D3571"/>
    <w:rsid w:val="002D3B02"/>
    <w:rsid w:val="002D3D35"/>
    <w:rsid w:val="002D434C"/>
    <w:rsid w:val="002D4433"/>
    <w:rsid w:val="002D4645"/>
    <w:rsid w:val="002D4841"/>
    <w:rsid w:val="002D57AF"/>
    <w:rsid w:val="002D5ABB"/>
    <w:rsid w:val="002D682B"/>
    <w:rsid w:val="002D6CB9"/>
    <w:rsid w:val="002D6DDC"/>
    <w:rsid w:val="002D6FAA"/>
    <w:rsid w:val="002D733B"/>
    <w:rsid w:val="002D78EB"/>
    <w:rsid w:val="002D79DE"/>
    <w:rsid w:val="002E0851"/>
    <w:rsid w:val="002E0ED0"/>
    <w:rsid w:val="002E1BA9"/>
    <w:rsid w:val="002E2B7F"/>
    <w:rsid w:val="002E3082"/>
    <w:rsid w:val="002E30BD"/>
    <w:rsid w:val="002E3306"/>
    <w:rsid w:val="002E37FB"/>
    <w:rsid w:val="002E3A8D"/>
    <w:rsid w:val="002E48AC"/>
    <w:rsid w:val="002E5099"/>
    <w:rsid w:val="002E5766"/>
    <w:rsid w:val="002E5A99"/>
    <w:rsid w:val="002E6344"/>
    <w:rsid w:val="002E7038"/>
    <w:rsid w:val="002E7385"/>
    <w:rsid w:val="002E7B35"/>
    <w:rsid w:val="002F0C71"/>
    <w:rsid w:val="002F1598"/>
    <w:rsid w:val="002F26CA"/>
    <w:rsid w:val="002F2C7D"/>
    <w:rsid w:val="002F3846"/>
    <w:rsid w:val="002F39FD"/>
    <w:rsid w:val="002F40C1"/>
    <w:rsid w:val="002F4946"/>
    <w:rsid w:val="002F4C3D"/>
    <w:rsid w:val="002F4C50"/>
    <w:rsid w:val="002F4D94"/>
    <w:rsid w:val="002F6B35"/>
    <w:rsid w:val="003000E7"/>
    <w:rsid w:val="003001C7"/>
    <w:rsid w:val="003007B5"/>
    <w:rsid w:val="00301439"/>
    <w:rsid w:val="00301DD7"/>
    <w:rsid w:val="00301E02"/>
    <w:rsid w:val="00301F4A"/>
    <w:rsid w:val="00304A48"/>
    <w:rsid w:val="00305B68"/>
    <w:rsid w:val="00305C71"/>
    <w:rsid w:val="00305C97"/>
    <w:rsid w:val="00306103"/>
    <w:rsid w:val="0030678A"/>
    <w:rsid w:val="0030703F"/>
    <w:rsid w:val="00310245"/>
    <w:rsid w:val="0031105F"/>
    <w:rsid w:val="00311480"/>
    <w:rsid w:val="00311771"/>
    <w:rsid w:val="0031202E"/>
    <w:rsid w:val="00313077"/>
    <w:rsid w:val="00313160"/>
    <w:rsid w:val="00313179"/>
    <w:rsid w:val="003133FF"/>
    <w:rsid w:val="003135CA"/>
    <w:rsid w:val="00314680"/>
    <w:rsid w:val="00314821"/>
    <w:rsid w:val="00314A04"/>
    <w:rsid w:val="00315E6F"/>
    <w:rsid w:val="003161D2"/>
    <w:rsid w:val="00316EFD"/>
    <w:rsid w:val="00317421"/>
    <w:rsid w:val="00317C67"/>
    <w:rsid w:val="00320367"/>
    <w:rsid w:val="0032079E"/>
    <w:rsid w:val="003212E3"/>
    <w:rsid w:val="00321A93"/>
    <w:rsid w:val="00321DD2"/>
    <w:rsid w:val="00323F5B"/>
    <w:rsid w:val="00323F71"/>
    <w:rsid w:val="003253B6"/>
    <w:rsid w:val="00326240"/>
    <w:rsid w:val="00326B5E"/>
    <w:rsid w:val="00327216"/>
    <w:rsid w:val="00327D40"/>
    <w:rsid w:val="003301D9"/>
    <w:rsid w:val="00330484"/>
    <w:rsid w:val="00330698"/>
    <w:rsid w:val="00330C4F"/>
    <w:rsid w:val="00331307"/>
    <w:rsid w:val="003314D9"/>
    <w:rsid w:val="00331F0B"/>
    <w:rsid w:val="003324B4"/>
    <w:rsid w:val="00332D99"/>
    <w:rsid w:val="00333158"/>
    <w:rsid w:val="00334C5E"/>
    <w:rsid w:val="003358E8"/>
    <w:rsid w:val="00335F1C"/>
    <w:rsid w:val="003376AA"/>
    <w:rsid w:val="0033776F"/>
    <w:rsid w:val="00337C71"/>
    <w:rsid w:val="0034039A"/>
    <w:rsid w:val="0034066E"/>
    <w:rsid w:val="003412D7"/>
    <w:rsid w:val="003418CF"/>
    <w:rsid w:val="00341B6F"/>
    <w:rsid w:val="003429B6"/>
    <w:rsid w:val="00343508"/>
    <w:rsid w:val="003437B4"/>
    <w:rsid w:val="00343902"/>
    <w:rsid w:val="00343C1D"/>
    <w:rsid w:val="00343D13"/>
    <w:rsid w:val="0034449C"/>
    <w:rsid w:val="00344719"/>
    <w:rsid w:val="00344A37"/>
    <w:rsid w:val="00344D56"/>
    <w:rsid w:val="0034511B"/>
    <w:rsid w:val="0034525B"/>
    <w:rsid w:val="00345424"/>
    <w:rsid w:val="00345F49"/>
    <w:rsid w:val="0034755C"/>
    <w:rsid w:val="00347919"/>
    <w:rsid w:val="00347ACF"/>
    <w:rsid w:val="00350613"/>
    <w:rsid w:val="00350898"/>
    <w:rsid w:val="003510D7"/>
    <w:rsid w:val="00351180"/>
    <w:rsid w:val="00353663"/>
    <w:rsid w:val="0035383E"/>
    <w:rsid w:val="0035387D"/>
    <w:rsid w:val="00353981"/>
    <w:rsid w:val="00353B2D"/>
    <w:rsid w:val="00353D18"/>
    <w:rsid w:val="003543B3"/>
    <w:rsid w:val="003559CA"/>
    <w:rsid w:val="003562A6"/>
    <w:rsid w:val="00356C45"/>
    <w:rsid w:val="00360463"/>
    <w:rsid w:val="00360763"/>
    <w:rsid w:val="003630A4"/>
    <w:rsid w:val="003644D6"/>
    <w:rsid w:val="00364B70"/>
    <w:rsid w:val="00364CEB"/>
    <w:rsid w:val="00365008"/>
    <w:rsid w:val="00365358"/>
    <w:rsid w:val="00366C51"/>
    <w:rsid w:val="00366EAA"/>
    <w:rsid w:val="00367140"/>
    <w:rsid w:val="00367840"/>
    <w:rsid w:val="00367C99"/>
    <w:rsid w:val="00370328"/>
    <w:rsid w:val="00370935"/>
    <w:rsid w:val="00371387"/>
    <w:rsid w:val="0037222F"/>
    <w:rsid w:val="003739F7"/>
    <w:rsid w:val="00373E2E"/>
    <w:rsid w:val="00374AB6"/>
    <w:rsid w:val="00375388"/>
    <w:rsid w:val="00375CBF"/>
    <w:rsid w:val="00375EFC"/>
    <w:rsid w:val="00376CA3"/>
    <w:rsid w:val="00377DB2"/>
    <w:rsid w:val="00377F22"/>
    <w:rsid w:val="00380224"/>
    <w:rsid w:val="003802A1"/>
    <w:rsid w:val="00380A7E"/>
    <w:rsid w:val="00380F56"/>
    <w:rsid w:val="00380F83"/>
    <w:rsid w:val="0038178E"/>
    <w:rsid w:val="00381C9F"/>
    <w:rsid w:val="00381CB8"/>
    <w:rsid w:val="00381EBB"/>
    <w:rsid w:val="00382013"/>
    <w:rsid w:val="003823EE"/>
    <w:rsid w:val="003837CC"/>
    <w:rsid w:val="00383DA6"/>
    <w:rsid w:val="00384EED"/>
    <w:rsid w:val="0038502E"/>
    <w:rsid w:val="00385973"/>
    <w:rsid w:val="0038600D"/>
    <w:rsid w:val="00386A82"/>
    <w:rsid w:val="00386FC7"/>
    <w:rsid w:val="003876D9"/>
    <w:rsid w:val="00387A9D"/>
    <w:rsid w:val="00387E42"/>
    <w:rsid w:val="00387E7F"/>
    <w:rsid w:val="00387EED"/>
    <w:rsid w:val="003904B9"/>
    <w:rsid w:val="00391D49"/>
    <w:rsid w:val="00392A26"/>
    <w:rsid w:val="00392C9C"/>
    <w:rsid w:val="00393CD4"/>
    <w:rsid w:val="00394187"/>
    <w:rsid w:val="003945AE"/>
    <w:rsid w:val="00395CFE"/>
    <w:rsid w:val="003969F3"/>
    <w:rsid w:val="00397372"/>
    <w:rsid w:val="003979D9"/>
    <w:rsid w:val="003A0BC1"/>
    <w:rsid w:val="003A12D8"/>
    <w:rsid w:val="003A16E1"/>
    <w:rsid w:val="003A2599"/>
    <w:rsid w:val="003A2748"/>
    <w:rsid w:val="003A27BB"/>
    <w:rsid w:val="003A27E1"/>
    <w:rsid w:val="003A29B8"/>
    <w:rsid w:val="003A2CCD"/>
    <w:rsid w:val="003A30F3"/>
    <w:rsid w:val="003A3C80"/>
    <w:rsid w:val="003A4D93"/>
    <w:rsid w:val="003A5E23"/>
    <w:rsid w:val="003A60FE"/>
    <w:rsid w:val="003A6260"/>
    <w:rsid w:val="003A6CB3"/>
    <w:rsid w:val="003A73FC"/>
    <w:rsid w:val="003A7740"/>
    <w:rsid w:val="003A779B"/>
    <w:rsid w:val="003A7F6A"/>
    <w:rsid w:val="003B0A0D"/>
    <w:rsid w:val="003B14AF"/>
    <w:rsid w:val="003B22EF"/>
    <w:rsid w:val="003B23BD"/>
    <w:rsid w:val="003B3406"/>
    <w:rsid w:val="003B3C41"/>
    <w:rsid w:val="003B3FF3"/>
    <w:rsid w:val="003B45DE"/>
    <w:rsid w:val="003B47BF"/>
    <w:rsid w:val="003B499A"/>
    <w:rsid w:val="003B4B10"/>
    <w:rsid w:val="003B597D"/>
    <w:rsid w:val="003B5AB1"/>
    <w:rsid w:val="003B5DAC"/>
    <w:rsid w:val="003B6384"/>
    <w:rsid w:val="003B6CBB"/>
    <w:rsid w:val="003C0A99"/>
    <w:rsid w:val="003C0E76"/>
    <w:rsid w:val="003C1F0E"/>
    <w:rsid w:val="003C2E00"/>
    <w:rsid w:val="003C31C7"/>
    <w:rsid w:val="003C35AA"/>
    <w:rsid w:val="003C370B"/>
    <w:rsid w:val="003C373C"/>
    <w:rsid w:val="003C39F4"/>
    <w:rsid w:val="003C418A"/>
    <w:rsid w:val="003C4369"/>
    <w:rsid w:val="003C443D"/>
    <w:rsid w:val="003C48A7"/>
    <w:rsid w:val="003C52A3"/>
    <w:rsid w:val="003C5D65"/>
    <w:rsid w:val="003C621C"/>
    <w:rsid w:val="003C64A5"/>
    <w:rsid w:val="003C6842"/>
    <w:rsid w:val="003C6857"/>
    <w:rsid w:val="003C754A"/>
    <w:rsid w:val="003C795E"/>
    <w:rsid w:val="003D0575"/>
    <w:rsid w:val="003D0655"/>
    <w:rsid w:val="003D09CB"/>
    <w:rsid w:val="003D0F7A"/>
    <w:rsid w:val="003D316F"/>
    <w:rsid w:val="003D3418"/>
    <w:rsid w:val="003D38F4"/>
    <w:rsid w:val="003D44C0"/>
    <w:rsid w:val="003D4E43"/>
    <w:rsid w:val="003D6968"/>
    <w:rsid w:val="003D6DC3"/>
    <w:rsid w:val="003D724A"/>
    <w:rsid w:val="003E2EA0"/>
    <w:rsid w:val="003E3641"/>
    <w:rsid w:val="003E3B39"/>
    <w:rsid w:val="003E3D95"/>
    <w:rsid w:val="003E457B"/>
    <w:rsid w:val="003E5E0B"/>
    <w:rsid w:val="003E6479"/>
    <w:rsid w:val="003E6879"/>
    <w:rsid w:val="003E7F39"/>
    <w:rsid w:val="003F0A63"/>
    <w:rsid w:val="003F113C"/>
    <w:rsid w:val="003F1211"/>
    <w:rsid w:val="003F1390"/>
    <w:rsid w:val="003F165A"/>
    <w:rsid w:val="003F1961"/>
    <w:rsid w:val="003F2BC5"/>
    <w:rsid w:val="003F41B2"/>
    <w:rsid w:val="003F4258"/>
    <w:rsid w:val="003F4754"/>
    <w:rsid w:val="003F54B5"/>
    <w:rsid w:val="003F5AD7"/>
    <w:rsid w:val="003F6DC2"/>
    <w:rsid w:val="003F723E"/>
    <w:rsid w:val="003F7B00"/>
    <w:rsid w:val="00400545"/>
    <w:rsid w:val="00400E1D"/>
    <w:rsid w:val="00400FD5"/>
    <w:rsid w:val="004015A6"/>
    <w:rsid w:val="004020B3"/>
    <w:rsid w:val="00402C07"/>
    <w:rsid w:val="00403C7A"/>
    <w:rsid w:val="004049A1"/>
    <w:rsid w:val="00404EA6"/>
    <w:rsid w:val="0040504B"/>
    <w:rsid w:val="004052FE"/>
    <w:rsid w:val="004064C8"/>
    <w:rsid w:val="004064CD"/>
    <w:rsid w:val="004067D6"/>
    <w:rsid w:val="004072AD"/>
    <w:rsid w:val="00407918"/>
    <w:rsid w:val="0040797D"/>
    <w:rsid w:val="0041029D"/>
    <w:rsid w:val="0041038C"/>
    <w:rsid w:val="0041044A"/>
    <w:rsid w:val="00411579"/>
    <w:rsid w:val="00411997"/>
    <w:rsid w:val="00412071"/>
    <w:rsid w:val="004136D7"/>
    <w:rsid w:val="00414AB9"/>
    <w:rsid w:val="00415266"/>
    <w:rsid w:val="00415419"/>
    <w:rsid w:val="0041603E"/>
    <w:rsid w:val="00417165"/>
    <w:rsid w:val="004171ED"/>
    <w:rsid w:val="004202DA"/>
    <w:rsid w:val="00420891"/>
    <w:rsid w:val="00420AD4"/>
    <w:rsid w:val="00420BA4"/>
    <w:rsid w:val="004224E6"/>
    <w:rsid w:val="00422500"/>
    <w:rsid w:val="0042328E"/>
    <w:rsid w:val="00423401"/>
    <w:rsid w:val="00424A56"/>
    <w:rsid w:val="004255E0"/>
    <w:rsid w:val="0042571C"/>
    <w:rsid w:val="00425EE2"/>
    <w:rsid w:val="0042657D"/>
    <w:rsid w:val="004270FE"/>
    <w:rsid w:val="00427865"/>
    <w:rsid w:val="0043066B"/>
    <w:rsid w:val="004309BF"/>
    <w:rsid w:val="00431399"/>
    <w:rsid w:val="004313B4"/>
    <w:rsid w:val="00431486"/>
    <w:rsid w:val="00431821"/>
    <w:rsid w:val="00432CAD"/>
    <w:rsid w:val="004335D6"/>
    <w:rsid w:val="00433825"/>
    <w:rsid w:val="00434510"/>
    <w:rsid w:val="0043469B"/>
    <w:rsid w:val="00434C1F"/>
    <w:rsid w:val="00435981"/>
    <w:rsid w:val="00435E25"/>
    <w:rsid w:val="00440869"/>
    <w:rsid w:val="00441A89"/>
    <w:rsid w:val="00441C19"/>
    <w:rsid w:val="0044389E"/>
    <w:rsid w:val="00443A65"/>
    <w:rsid w:val="00444124"/>
    <w:rsid w:val="00444365"/>
    <w:rsid w:val="00444468"/>
    <w:rsid w:val="00446889"/>
    <w:rsid w:val="004468E6"/>
    <w:rsid w:val="00446D93"/>
    <w:rsid w:val="00447336"/>
    <w:rsid w:val="00447BF6"/>
    <w:rsid w:val="004505F1"/>
    <w:rsid w:val="00450CED"/>
    <w:rsid w:val="00451234"/>
    <w:rsid w:val="00451E83"/>
    <w:rsid w:val="004523D4"/>
    <w:rsid w:val="00452881"/>
    <w:rsid w:val="00453A99"/>
    <w:rsid w:val="00453F03"/>
    <w:rsid w:val="00454090"/>
    <w:rsid w:val="0045491B"/>
    <w:rsid w:val="004558CC"/>
    <w:rsid w:val="00456BE2"/>
    <w:rsid w:val="00457046"/>
    <w:rsid w:val="004579F3"/>
    <w:rsid w:val="00457C90"/>
    <w:rsid w:val="0046045C"/>
    <w:rsid w:val="0046094C"/>
    <w:rsid w:val="00460D9E"/>
    <w:rsid w:val="00460E86"/>
    <w:rsid w:val="004614A6"/>
    <w:rsid w:val="00461B30"/>
    <w:rsid w:val="0046312A"/>
    <w:rsid w:val="00463731"/>
    <w:rsid w:val="00463A7C"/>
    <w:rsid w:val="00463C97"/>
    <w:rsid w:val="0046477B"/>
    <w:rsid w:val="00464995"/>
    <w:rsid w:val="00464CB4"/>
    <w:rsid w:val="004664FF"/>
    <w:rsid w:val="00467399"/>
    <w:rsid w:val="00467E36"/>
    <w:rsid w:val="0047010D"/>
    <w:rsid w:val="0047084B"/>
    <w:rsid w:val="0047088C"/>
    <w:rsid w:val="004718A0"/>
    <w:rsid w:val="00471E90"/>
    <w:rsid w:val="00472D50"/>
    <w:rsid w:val="00472DBE"/>
    <w:rsid w:val="00473A60"/>
    <w:rsid w:val="00473C3C"/>
    <w:rsid w:val="00474205"/>
    <w:rsid w:val="00474372"/>
    <w:rsid w:val="00474670"/>
    <w:rsid w:val="0047470D"/>
    <w:rsid w:val="004748C3"/>
    <w:rsid w:val="00474985"/>
    <w:rsid w:val="00475186"/>
    <w:rsid w:val="004752C3"/>
    <w:rsid w:val="00475E1B"/>
    <w:rsid w:val="0047641E"/>
    <w:rsid w:val="00476CB6"/>
    <w:rsid w:val="00477268"/>
    <w:rsid w:val="0047756E"/>
    <w:rsid w:val="0047789F"/>
    <w:rsid w:val="004778F4"/>
    <w:rsid w:val="00477B91"/>
    <w:rsid w:val="00477BDB"/>
    <w:rsid w:val="00480452"/>
    <w:rsid w:val="00481077"/>
    <w:rsid w:val="004812E1"/>
    <w:rsid w:val="00481471"/>
    <w:rsid w:val="00481674"/>
    <w:rsid w:val="004817AB"/>
    <w:rsid w:val="004818F3"/>
    <w:rsid w:val="00481D1A"/>
    <w:rsid w:val="00481D2E"/>
    <w:rsid w:val="004824E8"/>
    <w:rsid w:val="00482F70"/>
    <w:rsid w:val="00484531"/>
    <w:rsid w:val="004846A1"/>
    <w:rsid w:val="00484D64"/>
    <w:rsid w:val="00484F2D"/>
    <w:rsid w:val="004853BD"/>
    <w:rsid w:val="004855CE"/>
    <w:rsid w:val="0048590C"/>
    <w:rsid w:val="00485948"/>
    <w:rsid w:val="00487002"/>
    <w:rsid w:val="0049000A"/>
    <w:rsid w:val="004911AB"/>
    <w:rsid w:val="00491511"/>
    <w:rsid w:val="004919F6"/>
    <w:rsid w:val="00491A5D"/>
    <w:rsid w:val="00491CE0"/>
    <w:rsid w:val="0049208A"/>
    <w:rsid w:val="004929DD"/>
    <w:rsid w:val="00492D1A"/>
    <w:rsid w:val="00492DB4"/>
    <w:rsid w:val="004937CC"/>
    <w:rsid w:val="00495AF7"/>
    <w:rsid w:val="00495E2E"/>
    <w:rsid w:val="00496CF9"/>
    <w:rsid w:val="004973AB"/>
    <w:rsid w:val="004973F3"/>
    <w:rsid w:val="00497CD6"/>
    <w:rsid w:val="004A02E0"/>
    <w:rsid w:val="004A08D5"/>
    <w:rsid w:val="004A098B"/>
    <w:rsid w:val="004A0BEF"/>
    <w:rsid w:val="004A0FD7"/>
    <w:rsid w:val="004A18DA"/>
    <w:rsid w:val="004A2C79"/>
    <w:rsid w:val="004A2DB4"/>
    <w:rsid w:val="004A3296"/>
    <w:rsid w:val="004A3870"/>
    <w:rsid w:val="004A3CCB"/>
    <w:rsid w:val="004A42BB"/>
    <w:rsid w:val="004A42F9"/>
    <w:rsid w:val="004A4A64"/>
    <w:rsid w:val="004A4F32"/>
    <w:rsid w:val="004A610E"/>
    <w:rsid w:val="004A63F1"/>
    <w:rsid w:val="004A6532"/>
    <w:rsid w:val="004A6849"/>
    <w:rsid w:val="004A7667"/>
    <w:rsid w:val="004B08D4"/>
    <w:rsid w:val="004B15CF"/>
    <w:rsid w:val="004B171C"/>
    <w:rsid w:val="004B2166"/>
    <w:rsid w:val="004B2434"/>
    <w:rsid w:val="004B2BA0"/>
    <w:rsid w:val="004B4DE3"/>
    <w:rsid w:val="004B6628"/>
    <w:rsid w:val="004B6806"/>
    <w:rsid w:val="004B6C1C"/>
    <w:rsid w:val="004B75DB"/>
    <w:rsid w:val="004B7805"/>
    <w:rsid w:val="004C03E3"/>
    <w:rsid w:val="004C04CA"/>
    <w:rsid w:val="004C075D"/>
    <w:rsid w:val="004C08D6"/>
    <w:rsid w:val="004C0B0E"/>
    <w:rsid w:val="004C2A3D"/>
    <w:rsid w:val="004C516F"/>
    <w:rsid w:val="004C5A09"/>
    <w:rsid w:val="004C5A16"/>
    <w:rsid w:val="004C5D5D"/>
    <w:rsid w:val="004C5F99"/>
    <w:rsid w:val="004C619E"/>
    <w:rsid w:val="004C6D88"/>
    <w:rsid w:val="004C70BB"/>
    <w:rsid w:val="004C7ABC"/>
    <w:rsid w:val="004D0661"/>
    <w:rsid w:val="004D0AD5"/>
    <w:rsid w:val="004D0D69"/>
    <w:rsid w:val="004D47BA"/>
    <w:rsid w:val="004D549F"/>
    <w:rsid w:val="004D556F"/>
    <w:rsid w:val="004D5E29"/>
    <w:rsid w:val="004D6211"/>
    <w:rsid w:val="004D69C9"/>
    <w:rsid w:val="004D6EE8"/>
    <w:rsid w:val="004D7A28"/>
    <w:rsid w:val="004D7FF6"/>
    <w:rsid w:val="004E037D"/>
    <w:rsid w:val="004E05B6"/>
    <w:rsid w:val="004E060E"/>
    <w:rsid w:val="004E0D2E"/>
    <w:rsid w:val="004E0FF2"/>
    <w:rsid w:val="004E1142"/>
    <w:rsid w:val="004E1CD3"/>
    <w:rsid w:val="004E2F34"/>
    <w:rsid w:val="004E4DA2"/>
    <w:rsid w:val="004E4E6E"/>
    <w:rsid w:val="004E54F9"/>
    <w:rsid w:val="004E6073"/>
    <w:rsid w:val="004E620A"/>
    <w:rsid w:val="004E64AA"/>
    <w:rsid w:val="004E6663"/>
    <w:rsid w:val="004E70E8"/>
    <w:rsid w:val="004E75D1"/>
    <w:rsid w:val="004E76D5"/>
    <w:rsid w:val="004F1AD2"/>
    <w:rsid w:val="004F20BE"/>
    <w:rsid w:val="004F26F3"/>
    <w:rsid w:val="004F2EB8"/>
    <w:rsid w:val="004F34CC"/>
    <w:rsid w:val="004F3ABF"/>
    <w:rsid w:val="004F3E50"/>
    <w:rsid w:val="004F426A"/>
    <w:rsid w:val="004F45E5"/>
    <w:rsid w:val="004F50AB"/>
    <w:rsid w:val="004F5374"/>
    <w:rsid w:val="004F7584"/>
    <w:rsid w:val="004F7715"/>
    <w:rsid w:val="004F78D7"/>
    <w:rsid w:val="004F7BFB"/>
    <w:rsid w:val="004F7D93"/>
    <w:rsid w:val="0050031F"/>
    <w:rsid w:val="0050064B"/>
    <w:rsid w:val="00501043"/>
    <w:rsid w:val="005010D6"/>
    <w:rsid w:val="005014C6"/>
    <w:rsid w:val="005016EC"/>
    <w:rsid w:val="005027E0"/>
    <w:rsid w:val="00502C2A"/>
    <w:rsid w:val="00502E3E"/>
    <w:rsid w:val="005039D3"/>
    <w:rsid w:val="00503DCC"/>
    <w:rsid w:val="0050405E"/>
    <w:rsid w:val="00504C29"/>
    <w:rsid w:val="00505601"/>
    <w:rsid w:val="0050638A"/>
    <w:rsid w:val="00506AFE"/>
    <w:rsid w:val="00506CD4"/>
    <w:rsid w:val="005102EC"/>
    <w:rsid w:val="00510C80"/>
    <w:rsid w:val="00511EC7"/>
    <w:rsid w:val="0051235B"/>
    <w:rsid w:val="00513069"/>
    <w:rsid w:val="00513DD8"/>
    <w:rsid w:val="00513F2C"/>
    <w:rsid w:val="00515487"/>
    <w:rsid w:val="005154F3"/>
    <w:rsid w:val="00516C21"/>
    <w:rsid w:val="00516E91"/>
    <w:rsid w:val="00517802"/>
    <w:rsid w:val="00520A6A"/>
    <w:rsid w:val="00521216"/>
    <w:rsid w:val="00521238"/>
    <w:rsid w:val="0052156C"/>
    <w:rsid w:val="0052250F"/>
    <w:rsid w:val="00522BF7"/>
    <w:rsid w:val="005247F8"/>
    <w:rsid w:val="00524A7C"/>
    <w:rsid w:val="00524B80"/>
    <w:rsid w:val="00524FF0"/>
    <w:rsid w:val="00525F50"/>
    <w:rsid w:val="0052620E"/>
    <w:rsid w:val="00526EED"/>
    <w:rsid w:val="005300E3"/>
    <w:rsid w:val="005303F6"/>
    <w:rsid w:val="00530F58"/>
    <w:rsid w:val="0053307F"/>
    <w:rsid w:val="00533283"/>
    <w:rsid w:val="00533FB8"/>
    <w:rsid w:val="005340D9"/>
    <w:rsid w:val="00535405"/>
    <w:rsid w:val="0053599B"/>
    <w:rsid w:val="00536302"/>
    <w:rsid w:val="0053635C"/>
    <w:rsid w:val="00540B8F"/>
    <w:rsid w:val="00540C21"/>
    <w:rsid w:val="0054135A"/>
    <w:rsid w:val="0054160B"/>
    <w:rsid w:val="00541F42"/>
    <w:rsid w:val="00541F9A"/>
    <w:rsid w:val="0054213A"/>
    <w:rsid w:val="005421E4"/>
    <w:rsid w:val="00542570"/>
    <w:rsid w:val="00542B39"/>
    <w:rsid w:val="0054310A"/>
    <w:rsid w:val="005432B2"/>
    <w:rsid w:val="00543A4F"/>
    <w:rsid w:val="0054555A"/>
    <w:rsid w:val="00545996"/>
    <w:rsid w:val="00545E3C"/>
    <w:rsid w:val="00545EFC"/>
    <w:rsid w:val="005468EF"/>
    <w:rsid w:val="00546A42"/>
    <w:rsid w:val="00546BD7"/>
    <w:rsid w:val="00550000"/>
    <w:rsid w:val="0055010C"/>
    <w:rsid w:val="005506F5"/>
    <w:rsid w:val="00550D47"/>
    <w:rsid w:val="00551576"/>
    <w:rsid w:val="00551A41"/>
    <w:rsid w:val="00551DB1"/>
    <w:rsid w:val="0055250F"/>
    <w:rsid w:val="00552C37"/>
    <w:rsid w:val="00552C4C"/>
    <w:rsid w:val="00552D31"/>
    <w:rsid w:val="005569E2"/>
    <w:rsid w:val="00556B40"/>
    <w:rsid w:val="005573FE"/>
    <w:rsid w:val="00557BEE"/>
    <w:rsid w:val="00557D25"/>
    <w:rsid w:val="00560089"/>
    <w:rsid w:val="005605C1"/>
    <w:rsid w:val="00561E51"/>
    <w:rsid w:val="00563AD8"/>
    <w:rsid w:val="00564300"/>
    <w:rsid w:val="00564BE8"/>
    <w:rsid w:val="00564DBE"/>
    <w:rsid w:val="0056605D"/>
    <w:rsid w:val="00566F99"/>
    <w:rsid w:val="00567694"/>
    <w:rsid w:val="00567886"/>
    <w:rsid w:val="00570282"/>
    <w:rsid w:val="00570E5B"/>
    <w:rsid w:val="00572792"/>
    <w:rsid w:val="005729DE"/>
    <w:rsid w:val="00572B4F"/>
    <w:rsid w:val="0057327E"/>
    <w:rsid w:val="00573891"/>
    <w:rsid w:val="00573D0A"/>
    <w:rsid w:val="005744DF"/>
    <w:rsid w:val="00574D33"/>
    <w:rsid w:val="00574D46"/>
    <w:rsid w:val="00575B11"/>
    <w:rsid w:val="00575ECA"/>
    <w:rsid w:val="00576863"/>
    <w:rsid w:val="00576F40"/>
    <w:rsid w:val="00576F53"/>
    <w:rsid w:val="005770AF"/>
    <w:rsid w:val="00582509"/>
    <w:rsid w:val="0058259C"/>
    <w:rsid w:val="00582A68"/>
    <w:rsid w:val="00582F33"/>
    <w:rsid w:val="0058345E"/>
    <w:rsid w:val="0058403A"/>
    <w:rsid w:val="005849C6"/>
    <w:rsid w:val="00587C07"/>
    <w:rsid w:val="005901A2"/>
    <w:rsid w:val="005905AD"/>
    <w:rsid w:val="00590D3F"/>
    <w:rsid w:val="00590F5B"/>
    <w:rsid w:val="005917B8"/>
    <w:rsid w:val="00592797"/>
    <w:rsid w:val="00592C1B"/>
    <w:rsid w:val="0059340D"/>
    <w:rsid w:val="00593755"/>
    <w:rsid w:val="005938C6"/>
    <w:rsid w:val="00594A25"/>
    <w:rsid w:val="005952C4"/>
    <w:rsid w:val="00595899"/>
    <w:rsid w:val="00596887"/>
    <w:rsid w:val="00596F43"/>
    <w:rsid w:val="005970F0"/>
    <w:rsid w:val="0059727C"/>
    <w:rsid w:val="0059728A"/>
    <w:rsid w:val="005A00EB"/>
    <w:rsid w:val="005A0590"/>
    <w:rsid w:val="005A072B"/>
    <w:rsid w:val="005A0754"/>
    <w:rsid w:val="005A0E53"/>
    <w:rsid w:val="005A1243"/>
    <w:rsid w:val="005A1443"/>
    <w:rsid w:val="005A1CC9"/>
    <w:rsid w:val="005A4B87"/>
    <w:rsid w:val="005A56CD"/>
    <w:rsid w:val="005A5701"/>
    <w:rsid w:val="005A5C24"/>
    <w:rsid w:val="005A67ED"/>
    <w:rsid w:val="005A7FD1"/>
    <w:rsid w:val="005B0301"/>
    <w:rsid w:val="005B0B9A"/>
    <w:rsid w:val="005B105F"/>
    <w:rsid w:val="005B1CC5"/>
    <w:rsid w:val="005B2936"/>
    <w:rsid w:val="005B49A7"/>
    <w:rsid w:val="005B4A1D"/>
    <w:rsid w:val="005B4AAA"/>
    <w:rsid w:val="005B7735"/>
    <w:rsid w:val="005C0019"/>
    <w:rsid w:val="005C0CA1"/>
    <w:rsid w:val="005C2555"/>
    <w:rsid w:val="005C3C51"/>
    <w:rsid w:val="005C3EDC"/>
    <w:rsid w:val="005C4352"/>
    <w:rsid w:val="005C435D"/>
    <w:rsid w:val="005C4475"/>
    <w:rsid w:val="005C4603"/>
    <w:rsid w:val="005C4E8C"/>
    <w:rsid w:val="005C54AE"/>
    <w:rsid w:val="005C5DAF"/>
    <w:rsid w:val="005C6048"/>
    <w:rsid w:val="005C63D8"/>
    <w:rsid w:val="005C64D3"/>
    <w:rsid w:val="005C67F7"/>
    <w:rsid w:val="005C6C0A"/>
    <w:rsid w:val="005C6E04"/>
    <w:rsid w:val="005C6E21"/>
    <w:rsid w:val="005C7C95"/>
    <w:rsid w:val="005D0449"/>
    <w:rsid w:val="005D149B"/>
    <w:rsid w:val="005D15BB"/>
    <w:rsid w:val="005D236D"/>
    <w:rsid w:val="005D2D6F"/>
    <w:rsid w:val="005D340F"/>
    <w:rsid w:val="005D565A"/>
    <w:rsid w:val="005D5BF9"/>
    <w:rsid w:val="005D5C83"/>
    <w:rsid w:val="005D7717"/>
    <w:rsid w:val="005D7C85"/>
    <w:rsid w:val="005E115F"/>
    <w:rsid w:val="005E1719"/>
    <w:rsid w:val="005E1736"/>
    <w:rsid w:val="005E217B"/>
    <w:rsid w:val="005E2A78"/>
    <w:rsid w:val="005E2DC4"/>
    <w:rsid w:val="005E2E03"/>
    <w:rsid w:val="005E2FC6"/>
    <w:rsid w:val="005E370F"/>
    <w:rsid w:val="005E4523"/>
    <w:rsid w:val="005E4BFD"/>
    <w:rsid w:val="005E501C"/>
    <w:rsid w:val="005E54F9"/>
    <w:rsid w:val="005E5FCE"/>
    <w:rsid w:val="005E6038"/>
    <w:rsid w:val="005E6E94"/>
    <w:rsid w:val="005E7A86"/>
    <w:rsid w:val="005E7C85"/>
    <w:rsid w:val="005F077E"/>
    <w:rsid w:val="005F0F0A"/>
    <w:rsid w:val="005F1299"/>
    <w:rsid w:val="005F1CD5"/>
    <w:rsid w:val="005F3D90"/>
    <w:rsid w:val="005F4045"/>
    <w:rsid w:val="005F5578"/>
    <w:rsid w:val="005F5943"/>
    <w:rsid w:val="005F5FCF"/>
    <w:rsid w:val="005F630F"/>
    <w:rsid w:val="005F66D9"/>
    <w:rsid w:val="005F7CCF"/>
    <w:rsid w:val="00600F8B"/>
    <w:rsid w:val="006019BB"/>
    <w:rsid w:val="00601ADA"/>
    <w:rsid w:val="00601C7D"/>
    <w:rsid w:val="00601D93"/>
    <w:rsid w:val="00602881"/>
    <w:rsid w:val="00602A9D"/>
    <w:rsid w:val="00604316"/>
    <w:rsid w:val="00605412"/>
    <w:rsid w:val="00605731"/>
    <w:rsid w:val="00605AC3"/>
    <w:rsid w:val="0060688E"/>
    <w:rsid w:val="006070A0"/>
    <w:rsid w:val="006072E6"/>
    <w:rsid w:val="006100E9"/>
    <w:rsid w:val="006106BA"/>
    <w:rsid w:val="006107F5"/>
    <w:rsid w:val="00610DF8"/>
    <w:rsid w:val="00611248"/>
    <w:rsid w:val="00611AB5"/>
    <w:rsid w:val="0061201F"/>
    <w:rsid w:val="00612061"/>
    <w:rsid w:val="006126DA"/>
    <w:rsid w:val="006136E7"/>
    <w:rsid w:val="00613EF0"/>
    <w:rsid w:val="006148D4"/>
    <w:rsid w:val="00614D84"/>
    <w:rsid w:val="00615C49"/>
    <w:rsid w:val="00620BA7"/>
    <w:rsid w:val="00620F2B"/>
    <w:rsid w:val="006210B3"/>
    <w:rsid w:val="00621229"/>
    <w:rsid w:val="00621351"/>
    <w:rsid w:val="00621476"/>
    <w:rsid w:val="00621F74"/>
    <w:rsid w:val="006234AF"/>
    <w:rsid w:val="00623D82"/>
    <w:rsid w:val="00626341"/>
    <w:rsid w:val="00627CDE"/>
    <w:rsid w:val="006301DC"/>
    <w:rsid w:val="00630424"/>
    <w:rsid w:val="00630702"/>
    <w:rsid w:val="00630A43"/>
    <w:rsid w:val="00630F5A"/>
    <w:rsid w:val="00631933"/>
    <w:rsid w:val="006320E5"/>
    <w:rsid w:val="006326B1"/>
    <w:rsid w:val="00632D31"/>
    <w:rsid w:val="00632E0A"/>
    <w:rsid w:val="00633068"/>
    <w:rsid w:val="0063494B"/>
    <w:rsid w:val="00634F73"/>
    <w:rsid w:val="00635084"/>
    <w:rsid w:val="0063517D"/>
    <w:rsid w:val="00635674"/>
    <w:rsid w:val="00635F6E"/>
    <w:rsid w:val="00636514"/>
    <w:rsid w:val="00636576"/>
    <w:rsid w:val="00636890"/>
    <w:rsid w:val="006404A4"/>
    <w:rsid w:val="00642D6B"/>
    <w:rsid w:val="00642E48"/>
    <w:rsid w:val="00643086"/>
    <w:rsid w:val="00643607"/>
    <w:rsid w:val="00643D24"/>
    <w:rsid w:val="006444B0"/>
    <w:rsid w:val="00644F87"/>
    <w:rsid w:val="00646E63"/>
    <w:rsid w:val="00650FCF"/>
    <w:rsid w:val="00651172"/>
    <w:rsid w:val="006511B4"/>
    <w:rsid w:val="0065142B"/>
    <w:rsid w:val="006516F3"/>
    <w:rsid w:val="00653305"/>
    <w:rsid w:val="00653A47"/>
    <w:rsid w:val="00655076"/>
    <w:rsid w:val="006551CB"/>
    <w:rsid w:val="0065526C"/>
    <w:rsid w:val="0065593D"/>
    <w:rsid w:val="006559E8"/>
    <w:rsid w:val="00656B9D"/>
    <w:rsid w:val="006571ED"/>
    <w:rsid w:val="0065750D"/>
    <w:rsid w:val="00660867"/>
    <w:rsid w:val="00661AFA"/>
    <w:rsid w:val="00661B96"/>
    <w:rsid w:val="00662016"/>
    <w:rsid w:val="006620B7"/>
    <w:rsid w:val="00664666"/>
    <w:rsid w:val="00664D9F"/>
    <w:rsid w:val="006654A5"/>
    <w:rsid w:val="006654F3"/>
    <w:rsid w:val="00665530"/>
    <w:rsid w:val="006659B5"/>
    <w:rsid w:val="00666190"/>
    <w:rsid w:val="00666426"/>
    <w:rsid w:val="006666A5"/>
    <w:rsid w:val="00666AF2"/>
    <w:rsid w:val="00666F25"/>
    <w:rsid w:val="00667531"/>
    <w:rsid w:val="00667D8E"/>
    <w:rsid w:val="0067091D"/>
    <w:rsid w:val="006717FC"/>
    <w:rsid w:val="00671D73"/>
    <w:rsid w:val="0067201D"/>
    <w:rsid w:val="0067226C"/>
    <w:rsid w:val="0067347C"/>
    <w:rsid w:val="0067349A"/>
    <w:rsid w:val="006745E1"/>
    <w:rsid w:val="00675884"/>
    <w:rsid w:val="00676EFB"/>
    <w:rsid w:val="00677789"/>
    <w:rsid w:val="00677C06"/>
    <w:rsid w:val="00680083"/>
    <w:rsid w:val="0068013D"/>
    <w:rsid w:val="00680BA8"/>
    <w:rsid w:val="0068152F"/>
    <w:rsid w:val="006817B0"/>
    <w:rsid w:val="00681877"/>
    <w:rsid w:val="00681912"/>
    <w:rsid w:val="00681B0A"/>
    <w:rsid w:val="0068263A"/>
    <w:rsid w:val="00684177"/>
    <w:rsid w:val="00684D74"/>
    <w:rsid w:val="006856E8"/>
    <w:rsid w:val="00685FAA"/>
    <w:rsid w:val="00686865"/>
    <w:rsid w:val="00690284"/>
    <w:rsid w:val="00690B4B"/>
    <w:rsid w:val="006910BA"/>
    <w:rsid w:val="006911D6"/>
    <w:rsid w:val="00691C13"/>
    <w:rsid w:val="0069262D"/>
    <w:rsid w:val="00692C74"/>
    <w:rsid w:val="00693963"/>
    <w:rsid w:val="00693E53"/>
    <w:rsid w:val="00693EB3"/>
    <w:rsid w:val="00694892"/>
    <w:rsid w:val="00694987"/>
    <w:rsid w:val="00694B9C"/>
    <w:rsid w:val="0069707B"/>
    <w:rsid w:val="006A0166"/>
    <w:rsid w:val="006A045A"/>
    <w:rsid w:val="006A0547"/>
    <w:rsid w:val="006A0DB4"/>
    <w:rsid w:val="006A1B29"/>
    <w:rsid w:val="006A29DC"/>
    <w:rsid w:val="006A34BD"/>
    <w:rsid w:val="006A376B"/>
    <w:rsid w:val="006A3789"/>
    <w:rsid w:val="006A498F"/>
    <w:rsid w:val="006A49D1"/>
    <w:rsid w:val="006A6035"/>
    <w:rsid w:val="006A6A92"/>
    <w:rsid w:val="006A6F6B"/>
    <w:rsid w:val="006A79E4"/>
    <w:rsid w:val="006B00F6"/>
    <w:rsid w:val="006B238D"/>
    <w:rsid w:val="006B274D"/>
    <w:rsid w:val="006B2E76"/>
    <w:rsid w:val="006B2F10"/>
    <w:rsid w:val="006B40A4"/>
    <w:rsid w:val="006B411B"/>
    <w:rsid w:val="006B51B3"/>
    <w:rsid w:val="006B531A"/>
    <w:rsid w:val="006B6339"/>
    <w:rsid w:val="006B6EFA"/>
    <w:rsid w:val="006B736C"/>
    <w:rsid w:val="006B739F"/>
    <w:rsid w:val="006C1A02"/>
    <w:rsid w:val="006C2177"/>
    <w:rsid w:val="006C26BE"/>
    <w:rsid w:val="006C2FE3"/>
    <w:rsid w:val="006C3441"/>
    <w:rsid w:val="006C3950"/>
    <w:rsid w:val="006C3D83"/>
    <w:rsid w:val="006C3ECE"/>
    <w:rsid w:val="006C450A"/>
    <w:rsid w:val="006C451C"/>
    <w:rsid w:val="006C4904"/>
    <w:rsid w:val="006C4CF7"/>
    <w:rsid w:val="006C4E1A"/>
    <w:rsid w:val="006C5B70"/>
    <w:rsid w:val="006C5E7F"/>
    <w:rsid w:val="006C6125"/>
    <w:rsid w:val="006C6596"/>
    <w:rsid w:val="006C7ADC"/>
    <w:rsid w:val="006D0A50"/>
    <w:rsid w:val="006D0A5E"/>
    <w:rsid w:val="006D0C39"/>
    <w:rsid w:val="006D0C77"/>
    <w:rsid w:val="006D131A"/>
    <w:rsid w:val="006D1F82"/>
    <w:rsid w:val="006D2157"/>
    <w:rsid w:val="006D29F1"/>
    <w:rsid w:val="006D309F"/>
    <w:rsid w:val="006D30CC"/>
    <w:rsid w:val="006D317B"/>
    <w:rsid w:val="006D370E"/>
    <w:rsid w:val="006D3D20"/>
    <w:rsid w:val="006D457E"/>
    <w:rsid w:val="006D4CD9"/>
    <w:rsid w:val="006D571E"/>
    <w:rsid w:val="006D5BE7"/>
    <w:rsid w:val="006D620E"/>
    <w:rsid w:val="006D633A"/>
    <w:rsid w:val="006D64DE"/>
    <w:rsid w:val="006D6E5A"/>
    <w:rsid w:val="006D78C0"/>
    <w:rsid w:val="006E03B5"/>
    <w:rsid w:val="006E0CE1"/>
    <w:rsid w:val="006E1306"/>
    <w:rsid w:val="006E1328"/>
    <w:rsid w:val="006E1341"/>
    <w:rsid w:val="006E15A2"/>
    <w:rsid w:val="006E18AC"/>
    <w:rsid w:val="006E1951"/>
    <w:rsid w:val="006E2C0D"/>
    <w:rsid w:val="006E3478"/>
    <w:rsid w:val="006E357D"/>
    <w:rsid w:val="006E41E6"/>
    <w:rsid w:val="006E447E"/>
    <w:rsid w:val="006E4FE7"/>
    <w:rsid w:val="006E50F9"/>
    <w:rsid w:val="006E51BD"/>
    <w:rsid w:val="006E5307"/>
    <w:rsid w:val="006E59F8"/>
    <w:rsid w:val="006E62E2"/>
    <w:rsid w:val="006E6549"/>
    <w:rsid w:val="006E6B2B"/>
    <w:rsid w:val="006E6D58"/>
    <w:rsid w:val="006F024A"/>
    <w:rsid w:val="006F0DB0"/>
    <w:rsid w:val="006F0E24"/>
    <w:rsid w:val="006F0F75"/>
    <w:rsid w:val="006F1389"/>
    <w:rsid w:val="006F1CDD"/>
    <w:rsid w:val="006F2615"/>
    <w:rsid w:val="006F29EA"/>
    <w:rsid w:val="006F3CEF"/>
    <w:rsid w:val="006F4374"/>
    <w:rsid w:val="006F5228"/>
    <w:rsid w:val="006F5467"/>
    <w:rsid w:val="006F5D99"/>
    <w:rsid w:val="006F5EBB"/>
    <w:rsid w:val="006F5F22"/>
    <w:rsid w:val="006F60A9"/>
    <w:rsid w:val="006F710B"/>
    <w:rsid w:val="00700A9C"/>
    <w:rsid w:val="007018DC"/>
    <w:rsid w:val="00702372"/>
    <w:rsid w:val="0070245E"/>
    <w:rsid w:val="0070250A"/>
    <w:rsid w:val="00702BC6"/>
    <w:rsid w:val="00703021"/>
    <w:rsid w:val="0070363C"/>
    <w:rsid w:val="00703C67"/>
    <w:rsid w:val="00704835"/>
    <w:rsid w:val="00704E48"/>
    <w:rsid w:val="007053A9"/>
    <w:rsid w:val="00705818"/>
    <w:rsid w:val="0070645A"/>
    <w:rsid w:val="00706992"/>
    <w:rsid w:val="007079E4"/>
    <w:rsid w:val="00707A57"/>
    <w:rsid w:val="00707AB2"/>
    <w:rsid w:val="00707B2F"/>
    <w:rsid w:val="00710792"/>
    <w:rsid w:val="0071086F"/>
    <w:rsid w:val="0071089F"/>
    <w:rsid w:val="00710BBA"/>
    <w:rsid w:val="00710E5E"/>
    <w:rsid w:val="00710E91"/>
    <w:rsid w:val="00711A07"/>
    <w:rsid w:val="00711BA5"/>
    <w:rsid w:val="00711C57"/>
    <w:rsid w:val="0071244A"/>
    <w:rsid w:val="00712786"/>
    <w:rsid w:val="00712857"/>
    <w:rsid w:val="0071380B"/>
    <w:rsid w:val="00713B5F"/>
    <w:rsid w:val="00713C68"/>
    <w:rsid w:val="00713DB7"/>
    <w:rsid w:val="0071405E"/>
    <w:rsid w:val="0071424A"/>
    <w:rsid w:val="00714CE3"/>
    <w:rsid w:val="00714CEE"/>
    <w:rsid w:val="00715297"/>
    <w:rsid w:val="007159D6"/>
    <w:rsid w:val="00716F11"/>
    <w:rsid w:val="00717277"/>
    <w:rsid w:val="00717723"/>
    <w:rsid w:val="00717949"/>
    <w:rsid w:val="0071799F"/>
    <w:rsid w:val="00717CCA"/>
    <w:rsid w:val="00717FA7"/>
    <w:rsid w:val="007202C6"/>
    <w:rsid w:val="00720B3D"/>
    <w:rsid w:val="00720EBB"/>
    <w:rsid w:val="007210FE"/>
    <w:rsid w:val="007214E8"/>
    <w:rsid w:val="0072202A"/>
    <w:rsid w:val="00722A0E"/>
    <w:rsid w:val="00723209"/>
    <w:rsid w:val="007236CE"/>
    <w:rsid w:val="00723B4C"/>
    <w:rsid w:val="00723BE0"/>
    <w:rsid w:val="007240B4"/>
    <w:rsid w:val="00725260"/>
    <w:rsid w:val="00725362"/>
    <w:rsid w:val="007259B7"/>
    <w:rsid w:val="00726583"/>
    <w:rsid w:val="00726C16"/>
    <w:rsid w:val="00730117"/>
    <w:rsid w:val="00730165"/>
    <w:rsid w:val="00730655"/>
    <w:rsid w:val="007312A9"/>
    <w:rsid w:val="00731901"/>
    <w:rsid w:val="00733776"/>
    <w:rsid w:val="00733FA9"/>
    <w:rsid w:val="007347C4"/>
    <w:rsid w:val="00734E1A"/>
    <w:rsid w:val="00736E82"/>
    <w:rsid w:val="0073732E"/>
    <w:rsid w:val="00737A28"/>
    <w:rsid w:val="00740720"/>
    <w:rsid w:val="00740B00"/>
    <w:rsid w:val="00740F5C"/>
    <w:rsid w:val="007413FB"/>
    <w:rsid w:val="00741875"/>
    <w:rsid w:val="00741A9B"/>
    <w:rsid w:val="00741B1C"/>
    <w:rsid w:val="0074279A"/>
    <w:rsid w:val="00742B0A"/>
    <w:rsid w:val="00743738"/>
    <w:rsid w:val="00743A94"/>
    <w:rsid w:val="00743AA2"/>
    <w:rsid w:val="00744E22"/>
    <w:rsid w:val="0074518E"/>
    <w:rsid w:val="00745F30"/>
    <w:rsid w:val="00746072"/>
    <w:rsid w:val="007466E4"/>
    <w:rsid w:val="00747563"/>
    <w:rsid w:val="007477C5"/>
    <w:rsid w:val="00747846"/>
    <w:rsid w:val="007478EC"/>
    <w:rsid w:val="00747A8E"/>
    <w:rsid w:val="0075094F"/>
    <w:rsid w:val="00750AB4"/>
    <w:rsid w:val="00750B4D"/>
    <w:rsid w:val="007512A9"/>
    <w:rsid w:val="007513C9"/>
    <w:rsid w:val="0075184B"/>
    <w:rsid w:val="00751F52"/>
    <w:rsid w:val="00752979"/>
    <w:rsid w:val="0075339D"/>
    <w:rsid w:val="00754288"/>
    <w:rsid w:val="0075486F"/>
    <w:rsid w:val="00754B45"/>
    <w:rsid w:val="00754DC3"/>
    <w:rsid w:val="00755222"/>
    <w:rsid w:val="00757001"/>
    <w:rsid w:val="00757301"/>
    <w:rsid w:val="007603C5"/>
    <w:rsid w:val="00760447"/>
    <w:rsid w:val="00760518"/>
    <w:rsid w:val="00760C61"/>
    <w:rsid w:val="00761BF8"/>
    <w:rsid w:val="00761D4F"/>
    <w:rsid w:val="007624CD"/>
    <w:rsid w:val="00762515"/>
    <w:rsid w:val="00763ACB"/>
    <w:rsid w:val="00764333"/>
    <w:rsid w:val="00765945"/>
    <w:rsid w:val="00765CDF"/>
    <w:rsid w:val="00766B5E"/>
    <w:rsid w:val="00767104"/>
    <w:rsid w:val="00767994"/>
    <w:rsid w:val="0077096D"/>
    <w:rsid w:val="00770C13"/>
    <w:rsid w:val="00770D5B"/>
    <w:rsid w:val="00771FCC"/>
    <w:rsid w:val="0077206F"/>
    <w:rsid w:val="00772EB1"/>
    <w:rsid w:val="007732E8"/>
    <w:rsid w:val="007735CC"/>
    <w:rsid w:val="00773AEA"/>
    <w:rsid w:val="00774C6E"/>
    <w:rsid w:val="00774F51"/>
    <w:rsid w:val="00775FED"/>
    <w:rsid w:val="007762D5"/>
    <w:rsid w:val="007769D7"/>
    <w:rsid w:val="00777C4D"/>
    <w:rsid w:val="00777DB4"/>
    <w:rsid w:val="00777EA9"/>
    <w:rsid w:val="0078086A"/>
    <w:rsid w:val="00780C28"/>
    <w:rsid w:val="00780F0E"/>
    <w:rsid w:val="00781227"/>
    <w:rsid w:val="00781593"/>
    <w:rsid w:val="007821CB"/>
    <w:rsid w:val="00782E55"/>
    <w:rsid w:val="00783455"/>
    <w:rsid w:val="00783490"/>
    <w:rsid w:val="00784073"/>
    <w:rsid w:val="00784A0C"/>
    <w:rsid w:val="00784DEB"/>
    <w:rsid w:val="00785CC3"/>
    <w:rsid w:val="007863D7"/>
    <w:rsid w:val="007863E0"/>
    <w:rsid w:val="0078699C"/>
    <w:rsid w:val="00787788"/>
    <w:rsid w:val="0079024B"/>
    <w:rsid w:val="00790A30"/>
    <w:rsid w:val="007915C4"/>
    <w:rsid w:val="00791700"/>
    <w:rsid w:val="007922A8"/>
    <w:rsid w:val="00792418"/>
    <w:rsid w:val="0079270B"/>
    <w:rsid w:val="00792B10"/>
    <w:rsid w:val="00792E97"/>
    <w:rsid w:val="0079342A"/>
    <w:rsid w:val="00793511"/>
    <w:rsid w:val="007937FA"/>
    <w:rsid w:val="00793E26"/>
    <w:rsid w:val="00794214"/>
    <w:rsid w:val="00794E8F"/>
    <w:rsid w:val="007965F4"/>
    <w:rsid w:val="00796928"/>
    <w:rsid w:val="00796B77"/>
    <w:rsid w:val="00796DB5"/>
    <w:rsid w:val="00797A13"/>
    <w:rsid w:val="00797C4D"/>
    <w:rsid w:val="007A0516"/>
    <w:rsid w:val="007A08D9"/>
    <w:rsid w:val="007A13FB"/>
    <w:rsid w:val="007A1A4E"/>
    <w:rsid w:val="007A2316"/>
    <w:rsid w:val="007A28CC"/>
    <w:rsid w:val="007A2D72"/>
    <w:rsid w:val="007A3983"/>
    <w:rsid w:val="007A3ECF"/>
    <w:rsid w:val="007A45C8"/>
    <w:rsid w:val="007A4781"/>
    <w:rsid w:val="007A518E"/>
    <w:rsid w:val="007A5295"/>
    <w:rsid w:val="007A570A"/>
    <w:rsid w:val="007A5734"/>
    <w:rsid w:val="007A5AAA"/>
    <w:rsid w:val="007A5C72"/>
    <w:rsid w:val="007A5CEA"/>
    <w:rsid w:val="007A6243"/>
    <w:rsid w:val="007A6DDF"/>
    <w:rsid w:val="007A7636"/>
    <w:rsid w:val="007B077D"/>
    <w:rsid w:val="007B21B5"/>
    <w:rsid w:val="007B25B9"/>
    <w:rsid w:val="007B3510"/>
    <w:rsid w:val="007B3EB4"/>
    <w:rsid w:val="007B4A7D"/>
    <w:rsid w:val="007B51C4"/>
    <w:rsid w:val="007B565F"/>
    <w:rsid w:val="007B5C12"/>
    <w:rsid w:val="007B5C6B"/>
    <w:rsid w:val="007B6587"/>
    <w:rsid w:val="007B6C8C"/>
    <w:rsid w:val="007B7E46"/>
    <w:rsid w:val="007C0826"/>
    <w:rsid w:val="007C0EEF"/>
    <w:rsid w:val="007C10B5"/>
    <w:rsid w:val="007C17C4"/>
    <w:rsid w:val="007C1B12"/>
    <w:rsid w:val="007C288C"/>
    <w:rsid w:val="007C2EBD"/>
    <w:rsid w:val="007C2FB0"/>
    <w:rsid w:val="007C3316"/>
    <w:rsid w:val="007C3740"/>
    <w:rsid w:val="007C3974"/>
    <w:rsid w:val="007C4C50"/>
    <w:rsid w:val="007C527E"/>
    <w:rsid w:val="007C57AF"/>
    <w:rsid w:val="007C5D67"/>
    <w:rsid w:val="007C66C1"/>
    <w:rsid w:val="007C66C9"/>
    <w:rsid w:val="007C6F13"/>
    <w:rsid w:val="007C7E2D"/>
    <w:rsid w:val="007D0075"/>
    <w:rsid w:val="007D18B5"/>
    <w:rsid w:val="007D1A0E"/>
    <w:rsid w:val="007D1AD2"/>
    <w:rsid w:val="007D1B63"/>
    <w:rsid w:val="007D1EEE"/>
    <w:rsid w:val="007D259A"/>
    <w:rsid w:val="007D37C6"/>
    <w:rsid w:val="007D3D53"/>
    <w:rsid w:val="007D3EDA"/>
    <w:rsid w:val="007D495A"/>
    <w:rsid w:val="007D4D80"/>
    <w:rsid w:val="007D54D0"/>
    <w:rsid w:val="007D5D4A"/>
    <w:rsid w:val="007D71D1"/>
    <w:rsid w:val="007D71F4"/>
    <w:rsid w:val="007D7C4F"/>
    <w:rsid w:val="007E01AC"/>
    <w:rsid w:val="007E036A"/>
    <w:rsid w:val="007E1238"/>
    <w:rsid w:val="007E144F"/>
    <w:rsid w:val="007E169C"/>
    <w:rsid w:val="007E1E04"/>
    <w:rsid w:val="007E20C6"/>
    <w:rsid w:val="007E313B"/>
    <w:rsid w:val="007E47B9"/>
    <w:rsid w:val="007E4B97"/>
    <w:rsid w:val="007E4C5D"/>
    <w:rsid w:val="007E5130"/>
    <w:rsid w:val="007E5DE3"/>
    <w:rsid w:val="007E6076"/>
    <w:rsid w:val="007E63C0"/>
    <w:rsid w:val="007E7085"/>
    <w:rsid w:val="007E7A84"/>
    <w:rsid w:val="007F0881"/>
    <w:rsid w:val="007F1843"/>
    <w:rsid w:val="007F226D"/>
    <w:rsid w:val="007F2670"/>
    <w:rsid w:val="007F382C"/>
    <w:rsid w:val="007F3E0C"/>
    <w:rsid w:val="007F3F8B"/>
    <w:rsid w:val="007F43B4"/>
    <w:rsid w:val="007F474D"/>
    <w:rsid w:val="007F4C87"/>
    <w:rsid w:val="007F4E7D"/>
    <w:rsid w:val="007F5429"/>
    <w:rsid w:val="007F54CC"/>
    <w:rsid w:val="007F61DB"/>
    <w:rsid w:val="007F687C"/>
    <w:rsid w:val="007F6E4F"/>
    <w:rsid w:val="007F7BA5"/>
    <w:rsid w:val="00800392"/>
    <w:rsid w:val="0080081F"/>
    <w:rsid w:val="00801CB1"/>
    <w:rsid w:val="0080266E"/>
    <w:rsid w:val="0080356E"/>
    <w:rsid w:val="00803B69"/>
    <w:rsid w:val="008043A3"/>
    <w:rsid w:val="00804A6E"/>
    <w:rsid w:val="008057DF"/>
    <w:rsid w:val="008101F5"/>
    <w:rsid w:val="008107A0"/>
    <w:rsid w:val="00810A09"/>
    <w:rsid w:val="00810E7B"/>
    <w:rsid w:val="008110D0"/>
    <w:rsid w:val="0081111E"/>
    <w:rsid w:val="00811214"/>
    <w:rsid w:val="008115D0"/>
    <w:rsid w:val="00811770"/>
    <w:rsid w:val="00811966"/>
    <w:rsid w:val="00812056"/>
    <w:rsid w:val="008122D1"/>
    <w:rsid w:val="00812468"/>
    <w:rsid w:val="00812C3E"/>
    <w:rsid w:val="00813378"/>
    <w:rsid w:val="008137AF"/>
    <w:rsid w:val="00813D80"/>
    <w:rsid w:val="00813FEA"/>
    <w:rsid w:val="008145DF"/>
    <w:rsid w:val="008157A4"/>
    <w:rsid w:val="00815AD6"/>
    <w:rsid w:val="008169DE"/>
    <w:rsid w:val="00817245"/>
    <w:rsid w:val="00817B30"/>
    <w:rsid w:val="008200D5"/>
    <w:rsid w:val="0082099E"/>
    <w:rsid w:val="00820C01"/>
    <w:rsid w:val="00820C04"/>
    <w:rsid w:val="00820DB1"/>
    <w:rsid w:val="008219C7"/>
    <w:rsid w:val="00821EED"/>
    <w:rsid w:val="00822643"/>
    <w:rsid w:val="00822703"/>
    <w:rsid w:val="0082367F"/>
    <w:rsid w:val="00823820"/>
    <w:rsid w:val="00823D54"/>
    <w:rsid w:val="0082428E"/>
    <w:rsid w:val="00824EA7"/>
    <w:rsid w:val="00824F19"/>
    <w:rsid w:val="00825003"/>
    <w:rsid w:val="008255AD"/>
    <w:rsid w:val="0082683B"/>
    <w:rsid w:val="008273D5"/>
    <w:rsid w:val="008300E7"/>
    <w:rsid w:val="00830B0F"/>
    <w:rsid w:val="00830D5E"/>
    <w:rsid w:val="00831360"/>
    <w:rsid w:val="0083138B"/>
    <w:rsid w:val="008313DA"/>
    <w:rsid w:val="00831A4A"/>
    <w:rsid w:val="00831DFA"/>
    <w:rsid w:val="0083233F"/>
    <w:rsid w:val="00832843"/>
    <w:rsid w:val="008329B3"/>
    <w:rsid w:val="00832F0D"/>
    <w:rsid w:val="00833A2E"/>
    <w:rsid w:val="00833BF3"/>
    <w:rsid w:val="00834A23"/>
    <w:rsid w:val="0083558A"/>
    <w:rsid w:val="008365FF"/>
    <w:rsid w:val="00837085"/>
    <w:rsid w:val="00840188"/>
    <w:rsid w:val="00840CCE"/>
    <w:rsid w:val="00842023"/>
    <w:rsid w:val="0084228F"/>
    <w:rsid w:val="00842AE1"/>
    <w:rsid w:val="008430F3"/>
    <w:rsid w:val="00843E90"/>
    <w:rsid w:val="00844932"/>
    <w:rsid w:val="00844A3A"/>
    <w:rsid w:val="00844A75"/>
    <w:rsid w:val="008452A7"/>
    <w:rsid w:val="008456A6"/>
    <w:rsid w:val="00846123"/>
    <w:rsid w:val="008464D3"/>
    <w:rsid w:val="008468CD"/>
    <w:rsid w:val="00846F15"/>
    <w:rsid w:val="008504A8"/>
    <w:rsid w:val="00850A42"/>
    <w:rsid w:val="008511DD"/>
    <w:rsid w:val="008516E9"/>
    <w:rsid w:val="0085176A"/>
    <w:rsid w:val="008522B5"/>
    <w:rsid w:val="0085275E"/>
    <w:rsid w:val="00852B32"/>
    <w:rsid w:val="00853263"/>
    <w:rsid w:val="00853AA9"/>
    <w:rsid w:val="008540FA"/>
    <w:rsid w:val="00854278"/>
    <w:rsid w:val="008543F0"/>
    <w:rsid w:val="00854BD5"/>
    <w:rsid w:val="0085526E"/>
    <w:rsid w:val="00855C06"/>
    <w:rsid w:val="00856655"/>
    <w:rsid w:val="008571F4"/>
    <w:rsid w:val="0085721D"/>
    <w:rsid w:val="00857986"/>
    <w:rsid w:val="008579FF"/>
    <w:rsid w:val="008622E9"/>
    <w:rsid w:val="00862D18"/>
    <w:rsid w:val="008631B2"/>
    <w:rsid w:val="00863812"/>
    <w:rsid w:val="00863A0A"/>
    <w:rsid w:val="00863C0F"/>
    <w:rsid w:val="00863C23"/>
    <w:rsid w:val="00864270"/>
    <w:rsid w:val="00864DB5"/>
    <w:rsid w:val="00865158"/>
    <w:rsid w:val="00865429"/>
    <w:rsid w:val="00865ECE"/>
    <w:rsid w:val="00866B98"/>
    <w:rsid w:val="008672A5"/>
    <w:rsid w:val="00867DEC"/>
    <w:rsid w:val="00870FAB"/>
    <w:rsid w:val="00871060"/>
    <w:rsid w:val="00871EE9"/>
    <w:rsid w:val="0087232C"/>
    <w:rsid w:val="00872388"/>
    <w:rsid w:val="00872B1E"/>
    <w:rsid w:val="00872C50"/>
    <w:rsid w:val="0087300C"/>
    <w:rsid w:val="008739B3"/>
    <w:rsid w:val="00874855"/>
    <w:rsid w:val="00874B7A"/>
    <w:rsid w:val="0087519B"/>
    <w:rsid w:val="00875434"/>
    <w:rsid w:val="00876B68"/>
    <w:rsid w:val="00876E7D"/>
    <w:rsid w:val="00877D18"/>
    <w:rsid w:val="0088046B"/>
    <w:rsid w:val="008807E1"/>
    <w:rsid w:val="00880AE8"/>
    <w:rsid w:val="00881868"/>
    <w:rsid w:val="00881B8B"/>
    <w:rsid w:val="00881C5F"/>
    <w:rsid w:val="00881E07"/>
    <w:rsid w:val="00881FC8"/>
    <w:rsid w:val="008822D2"/>
    <w:rsid w:val="0088256A"/>
    <w:rsid w:val="00882783"/>
    <w:rsid w:val="00882877"/>
    <w:rsid w:val="0088384D"/>
    <w:rsid w:val="00883959"/>
    <w:rsid w:val="00883B4D"/>
    <w:rsid w:val="008867B6"/>
    <w:rsid w:val="00886F9D"/>
    <w:rsid w:val="00887C4B"/>
    <w:rsid w:val="00887E9B"/>
    <w:rsid w:val="00890581"/>
    <w:rsid w:val="00890A61"/>
    <w:rsid w:val="00890FCB"/>
    <w:rsid w:val="008916DF"/>
    <w:rsid w:val="008919BC"/>
    <w:rsid w:val="00891E9D"/>
    <w:rsid w:val="0089260E"/>
    <w:rsid w:val="008927DD"/>
    <w:rsid w:val="00892865"/>
    <w:rsid w:val="00892D55"/>
    <w:rsid w:val="008932F4"/>
    <w:rsid w:val="00893A12"/>
    <w:rsid w:val="008944B7"/>
    <w:rsid w:val="00895240"/>
    <w:rsid w:val="00895D62"/>
    <w:rsid w:val="0089616F"/>
    <w:rsid w:val="008961A8"/>
    <w:rsid w:val="00896454"/>
    <w:rsid w:val="008964A8"/>
    <w:rsid w:val="00896D04"/>
    <w:rsid w:val="00896D10"/>
    <w:rsid w:val="008977FA"/>
    <w:rsid w:val="00897963"/>
    <w:rsid w:val="00897A8A"/>
    <w:rsid w:val="008A0497"/>
    <w:rsid w:val="008A1CA9"/>
    <w:rsid w:val="008A275C"/>
    <w:rsid w:val="008A2B30"/>
    <w:rsid w:val="008A34FC"/>
    <w:rsid w:val="008A4591"/>
    <w:rsid w:val="008A45F0"/>
    <w:rsid w:val="008A55DE"/>
    <w:rsid w:val="008A5F10"/>
    <w:rsid w:val="008A601E"/>
    <w:rsid w:val="008A77C7"/>
    <w:rsid w:val="008A7A8E"/>
    <w:rsid w:val="008A7CD4"/>
    <w:rsid w:val="008A7D77"/>
    <w:rsid w:val="008B003D"/>
    <w:rsid w:val="008B05CA"/>
    <w:rsid w:val="008B1B7E"/>
    <w:rsid w:val="008B2110"/>
    <w:rsid w:val="008B23A0"/>
    <w:rsid w:val="008B2D67"/>
    <w:rsid w:val="008B39F8"/>
    <w:rsid w:val="008B48D1"/>
    <w:rsid w:val="008B52BF"/>
    <w:rsid w:val="008B579D"/>
    <w:rsid w:val="008B5DE6"/>
    <w:rsid w:val="008B5FDC"/>
    <w:rsid w:val="008B6874"/>
    <w:rsid w:val="008B789E"/>
    <w:rsid w:val="008C00DD"/>
    <w:rsid w:val="008C10B8"/>
    <w:rsid w:val="008C1818"/>
    <w:rsid w:val="008C1C85"/>
    <w:rsid w:val="008C207E"/>
    <w:rsid w:val="008C2412"/>
    <w:rsid w:val="008C27D6"/>
    <w:rsid w:val="008C27F8"/>
    <w:rsid w:val="008C2A9F"/>
    <w:rsid w:val="008C2AFF"/>
    <w:rsid w:val="008C2CFF"/>
    <w:rsid w:val="008C3502"/>
    <w:rsid w:val="008C3B29"/>
    <w:rsid w:val="008C3EA3"/>
    <w:rsid w:val="008C4934"/>
    <w:rsid w:val="008C49E2"/>
    <w:rsid w:val="008C4CED"/>
    <w:rsid w:val="008C4DE6"/>
    <w:rsid w:val="008C5833"/>
    <w:rsid w:val="008C5C53"/>
    <w:rsid w:val="008C6204"/>
    <w:rsid w:val="008C65AB"/>
    <w:rsid w:val="008C6E50"/>
    <w:rsid w:val="008C73C3"/>
    <w:rsid w:val="008C74C2"/>
    <w:rsid w:val="008C7D70"/>
    <w:rsid w:val="008D095D"/>
    <w:rsid w:val="008D0A78"/>
    <w:rsid w:val="008D0FB9"/>
    <w:rsid w:val="008D1816"/>
    <w:rsid w:val="008D1CBE"/>
    <w:rsid w:val="008D1EA2"/>
    <w:rsid w:val="008D1F42"/>
    <w:rsid w:val="008D2C44"/>
    <w:rsid w:val="008D2F61"/>
    <w:rsid w:val="008D37D4"/>
    <w:rsid w:val="008D39C9"/>
    <w:rsid w:val="008D51F4"/>
    <w:rsid w:val="008D5E13"/>
    <w:rsid w:val="008D641C"/>
    <w:rsid w:val="008D6C75"/>
    <w:rsid w:val="008D6D23"/>
    <w:rsid w:val="008D773A"/>
    <w:rsid w:val="008D7B5E"/>
    <w:rsid w:val="008E03A8"/>
    <w:rsid w:val="008E03D1"/>
    <w:rsid w:val="008E0CA7"/>
    <w:rsid w:val="008E0EBB"/>
    <w:rsid w:val="008E1273"/>
    <w:rsid w:val="008E1FFE"/>
    <w:rsid w:val="008E2F4D"/>
    <w:rsid w:val="008E3118"/>
    <w:rsid w:val="008E36C8"/>
    <w:rsid w:val="008E43DA"/>
    <w:rsid w:val="008E45AE"/>
    <w:rsid w:val="008E461E"/>
    <w:rsid w:val="008E655E"/>
    <w:rsid w:val="008E6CC4"/>
    <w:rsid w:val="008E6DAD"/>
    <w:rsid w:val="008E70E7"/>
    <w:rsid w:val="008F0920"/>
    <w:rsid w:val="008F0E83"/>
    <w:rsid w:val="008F1101"/>
    <w:rsid w:val="008F1A90"/>
    <w:rsid w:val="008F348B"/>
    <w:rsid w:val="008F3B81"/>
    <w:rsid w:val="008F4426"/>
    <w:rsid w:val="008F45DF"/>
    <w:rsid w:val="008F5163"/>
    <w:rsid w:val="008F5AAC"/>
    <w:rsid w:val="008F652C"/>
    <w:rsid w:val="008F7087"/>
    <w:rsid w:val="008F76B9"/>
    <w:rsid w:val="008F79AD"/>
    <w:rsid w:val="008F7DE2"/>
    <w:rsid w:val="0090188A"/>
    <w:rsid w:val="00903E5D"/>
    <w:rsid w:val="0090400C"/>
    <w:rsid w:val="009041D8"/>
    <w:rsid w:val="009047E0"/>
    <w:rsid w:val="00904A93"/>
    <w:rsid w:val="00904B2F"/>
    <w:rsid w:val="00905108"/>
    <w:rsid w:val="00905746"/>
    <w:rsid w:val="009058B1"/>
    <w:rsid w:val="00906FBC"/>
    <w:rsid w:val="00910C99"/>
    <w:rsid w:val="00911286"/>
    <w:rsid w:val="009115F8"/>
    <w:rsid w:val="009116E9"/>
    <w:rsid w:val="00912545"/>
    <w:rsid w:val="009129E3"/>
    <w:rsid w:val="00913C78"/>
    <w:rsid w:val="00913FC0"/>
    <w:rsid w:val="0091509D"/>
    <w:rsid w:val="009155E4"/>
    <w:rsid w:val="009155F3"/>
    <w:rsid w:val="0091587E"/>
    <w:rsid w:val="00915E4B"/>
    <w:rsid w:val="0091653C"/>
    <w:rsid w:val="00916721"/>
    <w:rsid w:val="00916F7F"/>
    <w:rsid w:val="00920213"/>
    <w:rsid w:val="009215CE"/>
    <w:rsid w:val="009224C0"/>
    <w:rsid w:val="00922945"/>
    <w:rsid w:val="009230CE"/>
    <w:rsid w:val="00923202"/>
    <w:rsid w:val="00923A48"/>
    <w:rsid w:val="00924C76"/>
    <w:rsid w:val="00924F97"/>
    <w:rsid w:val="0092524F"/>
    <w:rsid w:val="009253A1"/>
    <w:rsid w:val="00926211"/>
    <w:rsid w:val="00926C94"/>
    <w:rsid w:val="009278D7"/>
    <w:rsid w:val="009306DF"/>
    <w:rsid w:val="00930A5B"/>
    <w:rsid w:val="00931E9D"/>
    <w:rsid w:val="00931F93"/>
    <w:rsid w:val="009327F6"/>
    <w:rsid w:val="00932BF2"/>
    <w:rsid w:val="00933DB8"/>
    <w:rsid w:val="00933FED"/>
    <w:rsid w:val="00934624"/>
    <w:rsid w:val="00934E30"/>
    <w:rsid w:val="00934E7E"/>
    <w:rsid w:val="00935807"/>
    <w:rsid w:val="00935EAB"/>
    <w:rsid w:val="00935EDD"/>
    <w:rsid w:val="00936188"/>
    <w:rsid w:val="00936A1D"/>
    <w:rsid w:val="00936B74"/>
    <w:rsid w:val="009370EB"/>
    <w:rsid w:val="00937FF8"/>
    <w:rsid w:val="00940850"/>
    <w:rsid w:val="009408FF"/>
    <w:rsid w:val="00941A8A"/>
    <w:rsid w:val="00943A43"/>
    <w:rsid w:val="00943BDE"/>
    <w:rsid w:val="00944172"/>
    <w:rsid w:val="00944BB0"/>
    <w:rsid w:val="00945B0E"/>
    <w:rsid w:val="00945F07"/>
    <w:rsid w:val="009464D1"/>
    <w:rsid w:val="00946601"/>
    <w:rsid w:val="0094695B"/>
    <w:rsid w:val="00947542"/>
    <w:rsid w:val="00947BD8"/>
    <w:rsid w:val="00950C26"/>
    <w:rsid w:val="00951095"/>
    <w:rsid w:val="00951323"/>
    <w:rsid w:val="00952103"/>
    <w:rsid w:val="009541CE"/>
    <w:rsid w:val="009543E2"/>
    <w:rsid w:val="00955F17"/>
    <w:rsid w:val="00956C56"/>
    <w:rsid w:val="009572CE"/>
    <w:rsid w:val="0095777F"/>
    <w:rsid w:val="00957DF4"/>
    <w:rsid w:val="0096070D"/>
    <w:rsid w:val="00960912"/>
    <w:rsid w:val="00960D9F"/>
    <w:rsid w:val="009618B1"/>
    <w:rsid w:val="0096211D"/>
    <w:rsid w:val="00962210"/>
    <w:rsid w:val="00962823"/>
    <w:rsid w:val="00963673"/>
    <w:rsid w:val="009638E4"/>
    <w:rsid w:val="00963D54"/>
    <w:rsid w:val="009644B1"/>
    <w:rsid w:val="00964B6B"/>
    <w:rsid w:val="00965A32"/>
    <w:rsid w:val="00965B67"/>
    <w:rsid w:val="009661D8"/>
    <w:rsid w:val="00966B23"/>
    <w:rsid w:val="00967859"/>
    <w:rsid w:val="00967E8E"/>
    <w:rsid w:val="009708B1"/>
    <w:rsid w:val="0097168D"/>
    <w:rsid w:val="00971A3E"/>
    <w:rsid w:val="00971CF9"/>
    <w:rsid w:val="00972764"/>
    <w:rsid w:val="009728B6"/>
    <w:rsid w:val="0097293D"/>
    <w:rsid w:val="00972BC0"/>
    <w:rsid w:val="00972F7F"/>
    <w:rsid w:val="009743BF"/>
    <w:rsid w:val="00974799"/>
    <w:rsid w:val="00974EE0"/>
    <w:rsid w:val="00975C51"/>
    <w:rsid w:val="0097700C"/>
    <w:rsid w:val="0097700D"/>
    <w:rsid w:val="0098109D"/>
    <w:rsid w:val="00982029"/>
    <w:rsid w:val="009822D0"/>
    <w:rsid w:val="009830FF"/>
    <w:rsid w:val="0098373E"/>
    <w:rsid w:val="00983DDC"/>
    <w:rsid w:val="00984323"/>
    <w:rsid w:val="009848E7"/>
    <w:rsid w:val="009851CE"/>
    <w:rsid w:val="00985479"/>
    <w:rsid w:val="009854F0"/>
    <w:rsid w:val="009856C2"/>
    <w:rsid w:val="00986108"/>
    <w:rsid w:val="0098655F"/>
    <w:rsid w:val="009865D0"/>
    <w:rsid w:val="00986836"/>
    <w:rsid w:val="00986CF3"/>
    <w:rsid w:val="00986F77"/>
    <w:rsid w:val="009873BB"/>
    <w:rsid w:val="00987C39"/>
    <w:rsid w:val="00987C73"/>
    <w:rsid w:val="00990005"/>
    <w:rsid w:val="0099056A"/>
    <w:rsid w:val="00990B50"/>
    <w:rsid w:val="009912DD"/>
    <w:rsid w:val="0099189E"/>
    <w:rsid w:val="009926D8"/>
    <w:rsid w:val="00993044"/>
    <w:rsid w:val="00993536"/>
    <w:rsid w:val="00993721"/>
    <w:rsid w:val="00993814"/>
    <w:rsid w:val="0099395D"/>
    <w:rsid w:val="00993E26"/>
    <w:rsid w:val="00993FC7"/>
    <w:rsid w:val="0099425F"/>
    <w:rsid w:val="00995164"/>
    <w:rsid w:val="00995321"/>
    <w:rsid w:val="00995AFA"/>
    <w:rsid w:val="0099690A"/>
    <w:rsid w:val="00996BCA"/>
    <w:rsid w:val="0099766A"/>
    <w:rsid w:val="009976FD"/>
    <w:rsid w:val="009A0555"/>
    <w:rsid w:val="009A0909"/>
    <w:rsid w:val="009A099D"/>
    <w:rsid w:val="009A0EC8"/>
    <w:rsid w:val="009A10F1"/>
    <w:rsid w:val="009A25A6"/>
    <w:rsid w:val="009A2724"/>
    <w:rsid w:val="009A2D50"/>
    <w:rsid w:val="009A2E58"/>
    <w:rsid w:val="009A30B8"/>
    <w:rsid w:val="009A3FD7"/>
    <w:rsid w:val="009A410F"/>
    <w:rsid w:val="009A4194"/>
    <w:rsid w:val="009A4897"/>
    <w:rsid w:val="009A4C2C"/>
    <w:rsid w:val="009A4DB9"/>
    <w:rsid w:val="009A4E39"/>
    <w:rsid w:val="009A4EE5"/>
    <w:rsid w:val="009A523F"/>
    <w:rsid w:val="009A52A2"/>
    <w:rsid w:val="009A5AA4"/>
    <w:rsid w:val="009A66F0"/>
    <w:rsid w:val="009A6B2E"/>
    <w:rsid w:val="009B0435"/>
    <w:rsid w:val="009B0626"/>
    <w:rsid w:val="009B2037"/>
    <w:rsid w:val="009B23AB"/>
    <w:rsid w:val="009B3984"/>
    <w:rsid w:val="009B3A43"/>
    <w:rsid w:val="009B3E97"/>
    <w:rsid w:val="009B3ECA"/>
    <w:rsid w:val="009B440B"/>
    <w:rsid w:val="009B4B9F"/>
    <w:rsid w:val="009B530A"/>
    <w:rsid w:val="009B583F"/>
    <w:rsid w:val="009B5A7F"/>
    <w:rsid w:val="009B6B7B"/>
    <w:rsid w:val="009B7705"/>
    <w:rsid w:val="009C05AF"/>
    <w:rsid w:val="009C1305"/>
    <w:rsid w:val="009C13D4"/>
    <w:rsid w:val="009C144C"/>
    <w:rsid w:val="009C1779"/>
    <w:rsid w:val="009C308C"/>
    <w:rsid w:val="009C3565"/>
    <w:rsid w:val="009C37ED"/>
    <w:rsid w:val="009C3ED4"/>
    <w:rsid w:val="009C427D"/>
    <w:rsid w:val="009C47BC"/>
    <w:rsid w:val="009C5170"/>
    <w:rsid w:val="009C5205"/>
    <w:rsid w:val="009C5207"/>
    <w:rsid w:val="009C7204"/>
    <w:rsid w:val="009D1D29"/>
    <w:rsid w:val="009D2B74"/>
    <w:rsid w:val="009D2E06"/>
    <w:rsid w:val="009D346B"/>
    <w:rsid w:val="009D3A95"/>
    <w:rsid w:val="009D4740"/>
    <w:rsid w:val="009D5768"/>
    <w:rsid w:val="009D5869"/>
    <w:rsid w:val="009D5ACF"/>
    <w:rsid w:val="009D7E48"/>
    <w:rsid w:val="009E04E8"/>
    <w:rsid w:val="009E0F60"/>
    <w:rsid w:val="009E15D6"/>
    <w:rsid w:val="009E1869"/>
    <w:rsid w:val="009E228B"/>
    <w:rsid w:val="009E255C"/>
    <w:rsid w:val="009E257D"/>
    <w:rsid w:val="009E2C7E"/>
    <w:rsid w:val="009E319B"/>
    <w:rsid w:val="009E3F39"/>
    <w:rsid w:val="009E4234"/>
    <w:rsid w:val="009E45FE"/>
    <w:rsid w:val="009E49EC"/>
    <w:rsid w:val="009E50AF"/>
    <w:rsid w:val="009E55D4"/>
    <w:rsid w:val="009E5705"/>
    <w:rsid w:val="009E660E"/>
    <w:rsid w:val="009E6F13"/>
    <w:rsid w:val="009E7881"/>
    <w:rsid w:val="009F029B"/>
    <w:rsid w:val="009F0731"/>
    <w:rsid w:val="009F0A0C"/>
    <w:rsid w:val="009F0BCB"/>
    <w:rsid w:val="009F17D3"/>
    <w:rsid w:val="009F1DCB"/>
    <w:rsid w:val="009F1E11"/>
    <w:rsid w:val="009F34AF"/>
    <w:rsid w:val="009F3759"/>
    <w:rsid w:val="009F37C3"/>
    <w:rsid w:val="009F4523"/>
    <w:rsid w:val="009F4DE0"/>
    <w:rsid w:val="009F5861"/>
    <w:rsid w:val="009F5AF3"/>
    <w:rsid w:val="00A0037B"/>
    <w:rsid w:val="00A004DF"/>
    <w:rsid w:val="00A0051C"/>
    <w:rsid w:val="00A006C9"/>
    <w:rsid w:val="00A023E7"/>
    <w:rsid w:val="00A027F5"/>
    <w:rsid w:val="00A02C7F"/>
    <w:rsid w:val="00A032B5"/>
    <w:rsid w:val="00A03D05"/>
    <w:rsid w:val="00A0523A"/>
    <w:rsid w:val="00A0597C"/>
    <w:rsid w:val="00A0670D"/>
    <w:rsid w:val="00A06886"/>
    <w:rsid w:val="00A073C9"/>
    <w:rsid w:val="00A07499"/>
    <w:rsid w:val="00A10A86"/>
    <w:rsid w:val="00A11791"/>
    <w:rsid w:val="00A11842"/>
    <w:rsid w:val="00A1198B"/>
    <w:rsid w:val="00A120ED"/>
    <w:rsid w:val="00A12D2B"/>
    <w:rsid w:val="00A132F2"/>
    <w:rsid w:val="00A159AE"/>
    <w:rsid w:val="00A16B70"/>
    <w:rsid w:val="00A174A8"/>
    <w:rsid w:val="00A178E5"/>
    <w:rsid w:val="00A17946"/>
    <w:rsid w:val="00A211EB"/>
    <w:rsid w:val="00A21218"/>
    <w:rsid w:val="00A21276"/>
    <w:rsid w:val="00A21367"/>
    <w:rsid w:val="00A2162A"/>
    <w:rsid w:val="00A21C59"/>
    <w:rsid w:val="00A21D9B"/>
    <w:rsid w:val="00A236AB"/>
    <w:rsid w:val="00A256CB"/>
    <w:rsid w:val="00A25A16"/>
    <w:rsid w:val="00A27493"/>
    <w:rsid w:val="00A27921"/>
    <w:rsid w:val="00A279C8"/>
    <w:rsid w:val="00A27C06"/>
    <w:rsid w:val="00A27D94"/>
    <w:rsid w:val="00A300A0"/>
    <w:rsid w:val="00A302E9"/>
    <w:rsid w:val="00A30696"/>
    <w:rsid w:val="00A30A50"/>
    <w:rsid w:val="00A31A34"/>
    <w:rsid w:val="00A31A98"/>
    <w:rsid w:val="00A340D5"/>
    <w:rsid w:val="00A34677"/>
    <w:rsid w:val="00A34FB1"/>
    <w:rsid w:val="00A351F6"/>
    <w:rsid w:val="00A3569C"/>
    <w:rsid w:val="00A35E6B"/>
    <w:rsid w:val="00A361FA"/>
    <w:rsid w:val="00A36BBE"/>
    <w:rsid w:val="00A36E4A"/>
    <w:rsid w:val="00A4008B"/>
    <w:rsid w:val="00A4037C"/>
    <w:rsid w:val="00A40A26"/>
    <w:rsid w:val="00A40CDA"/>
    <w:rsid w:val="00A40CEA"/>
    <w:rsid w:val="00A40F22"/>
    <w:rsid w:val="00A40F32"/>
    <w:rsid w:val="00A42AC9"/>
    <w:rsid w:val="00A431FE"/>
    <w:rsid w:val="00A438EC"/>
    <w:rsid w:val="00A4403B"/>
    <w:rsid w:val="00A4447C"/>
    <w:rsid w:val="00A44653"/>
    <w:rsid w:val="00A44BBF"/>
    <w:rsid w:val="00A4501B"/>
    <w:rsid w:val="00A450EC"/>
    <w:rsid w:val="00A457E5"/>
    <w:rsid w:val="00A461D7"/>
    <w:rsid w:val="00A4738E"/>
    <w:rsid w:val="00A50BE0"/>
    <w:rsid w:val="00A51128"/>
    <w:rsid w:val="00A516EF"/>
    <w:rsid w:val="00A51855"/>
    <w:rsid w:val="00A51C9F"/>
    <w:rsid w:val="00A52D65"/>
    <w:rsid w:val="00A52DBD"/>
    <w:rsid w:val="00A5320A"/>
    <w:rsid w:val="00A535D7"/>
    <w:rsid w:val="00A53643"/>
    <w:rsid w:val="00A53C61"/>
    <w:rsid w:val="00A5496E"/>
    <w:rsid w:val="00A54BAD"/>
    <w:rsid w:val="00A54EF5"/>
    <w:rsid w:val="00A5529A"/>
    <w:rsid w:val="00A5672D"/>
    <w:rsid w:val="00A56B1C"/>
    <w:rsid w:val="00A56FE8"/>
    <w:rsid w:val="00A575A2"/>
    <w:rsid w:val="00A6072B"/>
    <w:rsid w:val="00A60963"/>
    <w:rsid w:val="00A60A62"/>
    <w:rsid w:val="00A60BE4"/>
    <w:rsid w:val="00A60DA4"/>
    <w:rsid w:val="00A618F5"/>
    <w:rsid w:val="00A621A8"/>
    <w:rsid w:val="00A62B24"/>
    <w:rsid w:val="00A633EB"/>
    <w:rsid w:val="00A63435"/>
    <w:rsid w:val="00A64390"/>
    <w:rsid w:val="00A64392"/>
    <w:rsid w:val="00A64A9C"/>
    <w:rsid w:val="00A64FC9"/>
    <w:rsid w:val="00A650B0"/>
    <w:rsid w:val="00A6576E"/>
    <w:rsid w:val="00A672AE"/>
    <w:rsid w:val="00A676D9"/>
    <w:rsid w:val="00A67A25"/>
    <w:rsid w:val="00A67F13"/>
    <w:rsid w:val="00A7088E"/>
    <w:rsid w:val="00A70ABB"/>
    <w:rsid w:val="00A716B2"/>
    <w:rsid w:val="00A71FD3"/>
    <w:rsid w:val="00A71FEF"/>
    <w:rsid w:val="00A72393"/>
    <w:rsid w:val="00A72C60"/>
    <w:rsid w:val="00A72CE2"/>
    <w:rsid w:val="00A75100"/>
    <w:rsid w:val="00A753FE"/>
    <w:rsid w:val="00A75BF5"/>
    <w:rsid w:val="00A75FF4"/>
    <w:rsid w:val="00A76E1A"/>
    <w:rsid w:val="00A77400"/>
    <w:rsid w:val="00A774E9"/>
    <w:rsid w:val="00A81ECD"/>
    <w:rsid w:val="00A83436"/>
    <w:rsid w:val="00A8405C"/>
    <w:rsid w:val="00A859A0"/>
    <w:rsid w:val="00A87B04"/>
    <w:rsid w:val="00A91E7E"/>
    <w:rsid w:val="00A92124"/>
    <w:rsid w:val="00A93CAF"/>
    <w:rsid w:val="00A94F54"/>
    <w:rsid w:val="00A95199"/>
    <w:rsid w:val="00A95946"/>
    <w:rsid w:val="00A9645B"/>
    <w:rsid w:val="00A971E4"/>
    <w:rsid w:val="00A97EE8"/>
    <w:rsid w:val="00AA03A1"/>
    <w:rsid w:val="00AA0A46"/>
    <w:rsid w:val="00AA1A71"/>
    <w:rsid w:val="00AA1E50"/>
    <w:rsid w:val="00AA1E62"/>
    <w:rsid w:val="00AA23EA"/>
    <w:rsid w:val="00AA25EF"/>
    <w:rsid w:val="00AA407A"/>
    <w:rsid w:val="00AA4651"/>
    <w:rsid w:val="00AA5303"/>
    <w:rsid w:val="00AA5609"/>
    <w:rsid w:val="00AA5B17"/>
    <w:rsid w:val="00AA5BDA"/>
    <w:rsid w:val="00AA78C9"/>
    <w:rsid w:val="00AB125F"/>
    <w:rsid w:val="00AB15C5"/>
    <w:rsid w:val="00AB20EE"/>
    <w:rsid w:val="00AB2753"/>
    <w:rsid w:val="00AB3144"/>
    <w:rsid w:val="00AB399C"/>
    <w:rsid w:val="00AB3D2C"/>
    <w:rsid w:val="00AB3D90"/>
    <w:rsid w:val="00AB4020"/>
    <w:rsid w:val="00AB45FA"/>
    <w:rsid w:val="00AB4865"/>
    <w:rsid w:val="00AB5E15"/>
    <w:rsid w:val="00AB6A95"/>
    <w:rsid w:val="00AB6C1E"/>
    <w:rsid w:val="00AB6E67"/>
    <w:rsid w:val="00AB7E0D"/>
    <w:rsid w:val="00AC0D55"/>
    <w:rsid w:val="00AC0D67"/>
    <w:rsid w:val="00AC0D9F"/>
    <w:rsid w:val="00AC1E44"/>
    <w:rsid w:val="00AC2C3E"/>
    <w:rsid w:val="00AC33BC"/>
    <w:rsid w:val="00AC3427"/>
    <w:rsid w:val="00AC3471"/>
    <w:rsid w:val="00AC4190"/>
    <w:rsid w:val="00AC46AA"/>
    <w:rsid w:val="00AC57FB"/>
    <w:rsid w:val="00AC7B18"/>
    <w:rsid w:val="00AC7C2A"/>
    <w:rsid w:val="00AD01FC"/>
    <w:rsid w:val="00AD058F"/>
    <w:rsid w:val="00AD05D4"/>
    <w:rsid w:val="00AD060A"/>
    <w:rsid w:val="00AD157B"/>
    <w:rsid w:val="00AD17C8"/>
    <w:rsid w:val="00AD29CB"/>
    <w:rsid w:val="00AD2E14"/>
    <w:rsid w:val="00AD4FAB"/>
    <w:rsid w:val="00AD5262"/>
    <w:rsid w:val="00AD624A"/>
    <w:rsid w:val="00AD629F"/>
    <w:rsid w:val="00AD64E5"/>
    <w:rsid w:val="00AD654F"/>
    <w:rsid w:val="00AD6E14"/>
    <w:rsid w:val="00AD7A42"/>
    <w:rsid w:val="00AD7D45"/>
    <w:rsid w:val="00AD7FEA"/>
    <w:rsid w:val="00AE03FA"/>
    <w:rsid w:val="00AE0C8F"/>
    <w:rsid w:val="00AE0DCA"/>
    <w:rsid w:val="00AE12BC"/>
    <w:rsid w:val="00AE1365"/>
    <w:rsid w:val="00AE13F5"/>
    <w:rsid w:val="00AE19B2"/>
    <w:rsid w:val="00AE1AEF"/>
    <w:rsid w:val="00AE1B6C"/>
    <w:rsid w:val="00AE2300"/>
    <w:rsid w:val="00AE26DD"/>
    <w:rsid w:val="00AE29EA"/>
    <w:rsid w:val="00AE2C4D"/>
    <w:rsid w:val="00AE344E"/>
    <w:rsid w:val="00AE549A"/>
    <w:rsid w:val="00AE6028"/>
    <w:rsid w:val="00AE602D"/>
    <w:rsid w:val="00AE6250"/>
    <w:rsid w:val="00AE66BF"/>
    <w:rsid w:val="00AE7424"/>
    <w:rsid w:val="00AE7E62"/>
    <w:rsid w:val="00AF017D"/>
    <w:rsid w:val="00AF092C"/>
    <w:rsid w:val="00AF2573"/>
    <w:rsid w:val="00AF2FA3"/>
    <w:rsid w:val="00AF3987"/>
    <w:rsid w:val="00AF4019"/>
    <w:rsid w:val="00AF4281"/>
    <w:rsid w:val="00AF4848"/>
    <w:rsid w:val="00AF4CA0"/>
    <w:rsid w:val="00AF4D73"/>
    <w:rsid w:val="00AF4FE1"/>
    <w:rsid w:val="00AF5211"/>
    <w:rsid w:val="00AF6217"/>
    <w:rsid w:val="00AF63AC"/>
    <w:rsid w:val="00AF67B6"/>
    <w:rsid w:val="00AF6C37"/>
    <w:rsid w:val="00AF71F6"/>
    <w:rsid w:val="00AF7522"/>
    <w:rsid w:val="00AF7C9C"/>
    <w:rsid w:val="00AF7D87"/>
    <w:rsid w:val="00B00129"/>
    <w:rsid w:val="00B00506"/>
    <w:rsid w:val="00B0164D"/>
    <w:rsid w:val="00B027ED"/>
    <w:rsid w:val="00B0316E"/>
    <w:rsid w:val="00B03575"/>
    <w:rsid w:val="00B03F03"/>
    <w:rsid w:val="00B04454"/>
    <w:rsid w:val="00B04509"/>
    <w:rsid w:val="00B04857"/>
    <w:rsid w:val="00B04C98"/>
    <w:rsid w:val="00B05A37"/>
    <w:rsid w:val="00B05C64"/>
    <w:rsid w:val="00B06B8F"/>
    <w:rsid w:val="00B07BC6"/>
    <w:rsid w:val="00B07F26"/>
    <w:rsid w:val="00B1025C"/>
    <w:rsid w:val="00B1062C"/>
    <w:rsid w:val="00B10CC0"/>
    <w:rsid w:val="00B10CD3"/>
    <w:rsid w:val="00B122A5"/>
    <w:rsid w:val="00B1273E"/>
    <w:rsid w:val="00B136BA"/>
    <w:rsid w:val="00B137CE"/>
    <w:rsid w:val="00B13DCE"/>
    <w:rsid w:val="00B14ED1"/>
    <w:rsid w:val="00B1589F"/>
    <w:rsid w:val="00B16034"/>
    <w:rsid w:val="00B16C0E"/>
    <w:rsid w:val="00B170D5"/>
    <w:rsid w:val="00B1755C"/>
    <w:rsid w:val="00B17EEF"/>
    <w:rsid w:val="00B20646"/>
    <w:rsid w:val="00B20EC8"/>
    <w:rsid w:val="00B22150"/>
    <w:rsid w:val="00B22483"/>
    <w:rsid w:val="00B22854"/>
    <w:rsid w:val="00B22E21"/>
    <w:rsid w:val="00B231F8"/>
    <w:rsid w:val="00B233DE"/>
    <w:rsid w:val="00B2365F"/>
    <w:rsid w:val="00B236CA"/>
    <w:rsid w:val="00B25900"/>
    <w:rsid w:val="00B25CB4"/>
    <w:rsid w:val="00B263F8"/>
    <w:rsid w:val="00B275B9"/>
    <w:rsid w:val="00B310B4"/>
    <w:rsid w:val="00B31A81"/>
    <w:rsid w:val="00B31A88"/>
    <w:rsid w:val="00B31C6C"/>
    <w:rsid w:val="00B3231E"/>
    <w:rsid w:val="00B32990"/>
    <w:rsid w:val="00B33D04"/>
    <w:rsid w:val="00B3437F"/>
    <w:rsid w:val="00B34DD9"/>
    <w:rsid w:val="00B34EE5"/>
    <w:rsid w:val="00B357B6"/>
    <w:rsid w:val="00B35B50"/>
    <w:rsid w:val="00B35F0F"/>
    <w:rsid w:val="00B36588"/>
    <w:rsid w:val="00B367B7"/>
    <w:rsid w:val="00B36C0D"/>
    <w:rsid w:val="00B37A15"/>
    <w:rsid w:val="00B37FFE"/>
    <w:rsid w:val="00B422EC"/>
    <w:rsid w:val="00B4258D"/>
    <w:rsid w:val="00B42631"/>
    <w:rsid w:val="00B446E5"/>
    <w:rsid w:val="00B459A0"/>
    <w:rsid w:val="00B4643B"/>
    <w:rsid w:val="00B4665C"/>
    <w:rsid w:val="00B470F6"/>
    <w:rsid w:val="00B47296"/>
    <w:rsid w:val="00B4797D"/>
    <w:rsid w:val="00B47E55"/>
    <w:rsid w:val="00B50095"/>
    <w:rsid w:val="00B503C2"/>
    <w:rsid w:val="00B50A8E"/>
    <w:rsid w:val="00B51AF9"/>
    <w:rsid w:val="00B524D7"/>
    <w:rsid w:val="00B52679"/>
    <w:rsid w:val="00B526CF"/>
    <w:rsid w:val="00B52E6C"/>
    <w:rsid w:val="00B533DF"/>
    <w:rsid w:val="00B53E98"/>
    <w:rsid w:val="00B54422"/>
    <w:rsid w:val="00B54E56"/>
    <w:rsid w:val="00B56219"/>
    <w:rsid w:val="00B562CA"/>
    <w:rsid w:val="00B5652D"/>
    <w:rsid w:val="00B5686C"/>
    <w:rsid w:val="00B606EC"/>
    <w:rsid w:val="00B607F5"/>
    <w:rsid w:val="00B609F6"/>
    <w:rsid w:val="00B60EC8"/>
    <w:rsid w:val="00B6173A"/>
    <w:rsid w:val="00B61A02"/>
    <w:rsid w:val="00B61D0B"/>
    <w:rsid w:val="00B620C8"/>
    <w:rsid w:val="00B62C5A"/>
    <w:rsid w:val="00B62DFD"/>
    <w:rsid w:val="00B63B92"/>
    <w:rsid w:val="00B649B3"/>
    <w:rsid w:val="00B649DF"/>
    <w:rsid w:val="00B64FDF"/>
    <w:rsid w:val="00B65334"/>
    <w:rsid w:val="00B655D9"/>
    <w:rsid w:val="00B66180"/>
    <w:rsid w:val="00B672A2"/>
    <w:rsid w:val="00B701D3"/>
    <w:rsid w:val="00B70F13"/>
    <w:rsid w:val="00B7214A"/>
    <w:rsid w:val="00B72AB0"/>
    <w:rsid w:val="00B748B5"/>
    <w:rsid w:val="00B74957"/>
    <w:rsid w:val="00B7500D"/>
    <w:rsid w:val="00B7616F"/>
    <w:rsid w:val="00B76250"/>
    <w:rsid w:val="00B767A1"/>
    <w:rsid w:val="00B7693C"/>
    <w:rsid w:val="00B76A7F"/>
    <w:rsid w:val="00B77EE8"/>
    <w:rsid w:val="00B803EF"/>
    <w:rsid w:val="00B8073B"/>
    <w:rsid w:val="00B80774"/>
    <w:rsid w:val="00B81110"/>
    <w:rsid w:val="00B81833"/>
    <w:rsid w:val="00B81ABA"/>
    <w:rsid w:val="00B81AC9"/>
    <w:rsid w:val="00B82077"/>
    <w:rsid w:val="00B8220F"/>
    <w:rsid w:val="00B8331A"/>
    <w:rsid w:val="00B83773"/>
    <w:rsid w:val="00B838F3"/>
    <w:rsid w:val="00B84D4E"/>
    <w:rsid w:val="00B850B8"/>
    <w:rsid w:val="00B85AE7"/>
    <w:rsid w:val="00B869E8"/>
    <w:rsid w:val="00B878AC"/>
    <w:rsid w:val="00B8792D"/>
    <w:rsid w:val="00B902E1"/>
    <w:rsid w:val="00B903E2"/>
    <w:rsid w:val="00B90A52"/>
    <w:rsid w:val="00B90E56"/>
    <w:rsid w:val="00B91A04"/>
    <w:rsid w:val="00B92C2F"/>
    <w:rsid w:val="00B9334D"/>
    <w:rsid w:val="00B93B9C"/>
    <w:rsid w:val="00B94022"/>
    <w:rsid w:val="00B9452E"/>
    <w:rsid w:val="00B94E4C"/>
    <w:rsid w:val="00B94E4D"/>
    <w:rsid w:val="00B954A0"/>
    <w:rsid w:val="00B95621"/>
    <w:rsid w:val="00B95EF0"/>
    <w:rsid w:val="00BA1873"/>
    <w:rsid w:val="00BA1D20"/>
    <w:rsid w:val="00BA1DEC"/>
    <w:rsid w:val="00BA2C90"/>
    <w:rsid w:val="00BA2D20"/>
    <w:rsid w:val="00BA3D92"/>
    <w:rsid w:val="00BA4B5F"/>
    <w:rsid w:val="00BA4C01"/>
    <w:rsid w:val="00BA57A5"/>
    <w:rsid w:val="00BA598D"/>
    <w:rsid w:val="00BA5D4D"/>
    <w:rsid w:val="00BA65E4"/>
    <w:rsid w:val="00BA68A2"/>
    <w:rsid w:val="00BA6FB5"/>
    <w:rsid w:val="00BB1220"/>
    <w:rsid w:val="00BB1255"/>
    <w:rsid w:val="00BB2C9F"/>
    <w:rsid w:val="00BB3AA4"/>
    <w:rsid w:val="00BB5621"/>
    <w:rsid w:val="00BB5E42"/>
    <w:rsid w:val="00BB63AD"/>
    <w:rsid w:val="00BB69BE"/>
    <w:rsid w:val="00BB6C97"/>
    <w:rsid w:val="00BB72F7"/>
    <w:rsid w:val="00BB7A6C"/>
    <w:rsid w:val="00BC09C3"/>
    <w:rsid w:val="00BC0CD0"/>
    <w:rsid w:val="00BC0E1F"/>
    <w:rsid w:val="00BC1B48"/>
    <w:rsid w:val="00BC1D8E"/>
    <w:rsid w:val="00BC2A71"/>
    <w:rsid w:val="00BC3926"/>
    <w:rsid w:val="00BC4A71"/>
    <w:rsid w:val="00BC5D91"/>
    <w:rsid w:val="00BC5E2D"/>
    <w:rsid w:val="00BC60C9"/>
    <w:rsid w:val="00BC65F6"/>
    <w:rsid w:val="00BC6B30"/>
    <w:rsid w:val="00BC6BE0"/>
    <w:rsid w:val="00BC717E"/>
    <w:rsid w:val="00BC7844"/>
    <w:rsid w:val="00BC78CE"/>
    <w:rsid w:val="00BD00D5"/>
    <w:rsid w:val="00BD06AC"/>
    <w:rsid w:val="00BD07F4"/>
    <w:rsid w:val="00BD178B"/>
    <w:rsid w:val="00BD19DB"/>
    <w:rsid w:val="00BD19DD"/>
    <w:rsid w:val="00BD220A"/>
    <w:rsid w:val="00BD24AA"/>
    <w:rsid w:val="00BD26A0"/>
    <w:rsid w:val="00BD2B77"/>
    <w:rsid w:val="00BD2D4B"/>
    <w:rsid w:val="00BD35BE"/>
    <w:rsid w:val="00BD3A88"/>
    <w:rsid w:val="00BD3DDF"/>
    <w:rsid w:val="00BD4ED7"/>
    <w:rsid w:val="00BD51F9"/>
    <w:rsid w:val="00BD5BE4"/>
    <w:rsid w:val="00BD643D"/>
    <w:rsid w:val="00BD6D6B"/>
    <w:rsid w:val="00BD6DDE"/>
    <w:rsid w:val="00BD6EAD"/>
    <w:rsid w:val="00BD768B"/>
    <w:rsid w:val="00BE00F2"/>
    <w:rsid w:val="00BE0D25"/>
    <w:rsid w:val="00BE131E"/>
    <w:rsid w:val="00BE31E3"/>
    <w:rsid w:val="00BE36AF"/>
    <w:rsid w:val="00BE3D02"/>
    <w:rsid w:val="00BE4682"/>
    <w:rsid w:val="00BE478F"/>
    <w:rsid w:val="00BE54FB"/>
    <w:rsid w:val="00BE552A"/>
    <w:rsid w:val="00BE593F"/>
    <w:rsid w:val="00BE5ACF"/>
    <w:rsid w:val="00BE6084"/>
    <w:rsid w:val="00BE65A8"/>
    <w:rsid w:val="00BE660E"/>
    <w:rsid w:val="00BE6B00"/>
    <w:rsid w:val="00BE7F49"/>
    <w:rsid w:val="00BF0F2E"/>
    <w:rsid w:val="00BF147C"/>
    <w:rsid w:val="00BF1590"/>
    <w:rsid w:val="00BF25CF"/>
    <w:rsid w:val="00BF27A5"/>
    <w:rsid w:val="00BF2CC2"/>
    <w:rsid w:val="00BF2D03"/>
    <w:rsid w:val="00BF2DCE"/>
    <w:rsid w:val="00BF46D9"/>
    <w:rsid w:val="00BF4806"/>
    <w:rsid w:val="00BF4824"/>
    <w:rsid w:val="00BF4FAF"/>
    <w:rsid w:val="00BF6505"/>
    <w:rsid w:val="00BF6593"/>
    <w:rsid w:val="00BF6829"/>
    <w:rsid w:val="00BF6AAC"/>
    <w:rsid w:val="00BF703F"/>
    <w:rsid w:val="00BF78F8"/>
    <w:rsid w:val="00C0052F"/>
    <w:rsid w:val="00C019A9"/>
    <w:rsid w:val="00C02095"/>
    <w:rsid w:val="00C0233D"/>
    <w:rsid w:val="00C0314A"/>
    <w:rsid w:val="00C03382"/>
    <w:rsid w:val="00C035DA"/>
    <w:rsid w:val="00C035F1"/>
    <w:rsid w:val="00C03B3C"/>
    <w:rsid w:val="00C040DA"/>
    <w:rsid w:val="00C0515B"/>
    <w:rsid w:val="00C053A9"/>
    <w:rsid w:val="00C05443"/>
    <w:rsid w:val="00C05893"/>
    <w:rsid w:val="00C05B3B"/>
    <w:rsid w:val="00C05D0C"/>
    <w:rsid w:val="00C067A4"/>
    <w:rsid w:val="00C07E88"/>
    <w:rsid w:val="00C1033F"/>
    <w:rsid w:val="00C10B73"/>
    <w:rsid w:val="00C114C3"/>
    <w:rsid w:val="00C11819"/>
    <w:rsid w:val="00C11908"/>
    <w:rsid w:val="00C11B73"/>
    <w:rsid w:val="00C11EE0"/>
    <w:rsid w:val="00C121CC"/>
    <w:rsid w:val="00C1228D"/>
    <w:rsid w:val="00C129B5"/>
    <w:rsid w:val="00C1310D"/>
    <w:rsid w:val="00C14236"/>
    <w:rsid w:val="00C1427D"/>
    <w:rsid w:val="00C1449D"/>
    <w:rsid w:val="00C1456D"/>
    <w:rsid w:val="00C146EF"/>
    <w:rsid w:val="00C15B86"/>
    <w:rsid w:val="00C15E07"/>
    <w:rsid w:val="00C166CF"/>
    <w:rsid w:val="00C1735E"/>
    <w:rsid w:val="00C17508"/>
    <w:rsid w:val="00C17738"/>
    <w:rsid w:val="00C20432"/>
    <w:rsid w:val="00C20C79"/>
    <w:rsid w:val="00C213C2"/>
    <w:rsid w:val="00C216AA"/>
    <w:rsid w:val="00C22AB7"/>
    <w:rsid w:val="00C2301A"/>
    <w:rsid w:val="00C233B3"/>
    <w:rsid w:val="00C24A6A"/>
    <w:rsid w:val="00C24E34"/>
    <w:rsid w:val="00C25169"/>
    <w:rsid w:val="00C25B4E"/>
    <w:rsid w:val="00C26E71"/>
    <w:rsid w:val="00C274FA"/>
    <w:rsid w:val="00C27D8D"/>
    <w:rsid w:val="00C3084B"/>
    <w:rsid w:val="00C313B7"/>
    <w:rsid w:val="00C318A7"/>
    <w:rsid w:val="00C3195D"/>
    <w:rsid w:val="00C31A93"/>
    <w:rsid w:val="00C31B20"/>
    <w:rsid w:val="00C31B65"/>
    <w:rsid w:val="00C322B5"/>
    <w:rsid w:val="00C32604"/>
    <w:rsid w:val="00C33A2C"/>
    <w:rsid w:val="00C340E2"/>
    <w:rsid w:val="00C34310"/>
    <w:rsid w:val="00C343F8"/>
    <w:rsid w:val="00C345B4"/>
    <w:rsid w:val="00C34658"/>
    <w:rsid w:val="00C34AC1"/>
    <w:rsid w:val="00C34EF4"/>
    <w:rsid w:val="00C34F43"/>
    <w:rsid w:val="00C3554C"/>
    <w:rsid w:val="00C357AC"/>
    <w:rsid w:val="00C3593F"/>
    <w:rsid w:val="00C36028"/>
    <w:rsid w:val="00C36614"/>
    <w:rsid w:val="00C36957"/>
    <w:rsid w:val="00C36E8A"/>
    <w:rsid w:val="00C37F18"/>
    <w:rsid w:val="00C4051E"/>
    <w:rsid w:val="00C40776"/>
    <w:rsid w:val="00C4111B"/>
    <w:rsid w:val="00C41E6D"/>
    <w:rsid w:val="00C41F42"/>
    <w:rsid w:val="00C41F49"/>
    <w:rsid w:val="00C4298B"/>
    <w:rsid w:val="00C42C90"/>
    <w:rsid w:val="00C42EC4"/>
    <w:rsid w:val="00C44D9D"/>
    <w:rsid w:val="00C459E3"/>
    <w:rsid w:val="00C45BF3"/>
    <w:rsid w:val="00C45ED5"/>
    <w:rsid w:val="00C4609E"/>
    <w:rsid w:val="00C468D4"/>
    <w:rsid w:val="00C46AD7"/>
    <w:rsid w:val="00C47364"/>
    <w:rsid w:val="00C4753C"/>
    <w:rsid w:val="00C47A12"/>
    <w:rsid w:val="00C47AA0"/>
    <w:rsid w:val="00C50CBB"/>
    <w:rsid w:val="00C513D9"/>
    <w:rsid w:val="00C51465"/>
    <w:rsid w:val="00C51693"/>
    <w:rsid w:val="00C51998"/>
    <w:rsid w:val="00C53252"/>
    <w:rsid w:val="00C535FB"/>
    <w:rsid w:val="00C53EBC"/>
    <w:rsid w:val="00C554F0"/>
    <w:rsid w:val="00C6095F"/>
    <w:rsid w:val="00C6145B"/>
    <w:rsid w:val="00C61527"/>
    <w:rsid w:val="00C617DE"/>
    <w:rsid w:val="00C617EE"/>
    <w:rsid w:val="00C61D8C"/>
    <w:rsid w:val="00C62807"/>
    <w:rsid w:val="00C6290B"/>
    <w:rsid w:val="00C62CA1"/>
    <w:rsid w:val="00C63080"/>
    <w:rsid w:val="00C63252"/>
    <w:rsid w:val="00C635D2"/>
    <w:rsid w:val="00C63C01"/>
    <w:rsid w:val="00C63CE8"/>
    <w:rsid w:val="00C645A8"/>
    <w:rsid w:val="00C64703"/>
    <w:rsid w:val="00C65C20"/>
    <w:rsid w:val="00C66182"/>
    <w:rsid w:val="00C66272"/>
    <w:rsid w:val="00C662B6"/>
    <w:rsid w:val="00C67237"/>
    <w:rsid w:val="00C7015C"/>
    <w:rsid w:val="00C70C8F"/>
    <w:rsid w:val="00C71388"/>
    <w:rsid w:val="00C719E9"/>
    <w:rsid w:val="00C71CE5"/>
    <w:rsid w:val="00C73D7E"/>
    <w:rsid w:val="00C753B8"/>
    <w:rsid w:val="00C756A1"/>
    <w:rsid w:val="00C75849"/>
    <w:rsid w:val="00C76CE9"/>
    <w:rsid w:val="00C77CD9"/>
    <w:rsid w:val="00C8023E"/>
    <w:rsid w:val="00C80CDA"/>
    <w:rsid w:val="00C824F4"/>
    <w:rsid w:val="00C82F53"/>
    <w:rsid w:val="00C83559"/>
    <w:rsid w:val="00C83FA4"/>
    <w:rsid w:val="00C84872"/>
    <w:rsid w:val="00C848F1"/>
    <w:rsid w:val="00C84D33"/>
    <w:rsid w:val="00C85036"/>
    <w:rsid w:val="00C85096"/>
    <w:rsid w:val="00C85BAF"/>
    <w:rsid w:val="00C867A2"/>
    <w:rsid w:val="00C86E4D"/>
    <w:rsid w:val="00C87045"/>
    <w:rsid w:val="00C876ED"/>
    <w:rsid w:val="00C90574"/>
    <w:rsid w:val="00C90BA5"/>
    <w:rsid w:val="00C91A32"/>
    <w:rsid w:val="00C93822"/>
    <w:rsid w:val="00C94D30"/>
    <w:rsid w:val="00C94F22"/>
    <w:rsid w:val="00C95B33"/>
    <w:rsid w:val="00C95C59"/>
    <w:rsid w:val="00C95DD7"/>
    <w:rsid w:val="00C95E0F"/>
    <w:rsid w:val="00C96A7D"/>
    <w:rsid w:val="00C977FB"/>
    <w:rsid w:val="00C97938"/>
    <w:rsid w:val="00CA05CF"/>
    <w:rsid w:val="00CA0F90"/>
    <w:rsid w:val="00CA2308"/>
    <w:rsid w:val="00CA2825"/>
    <w:rsid w:val="00CA305B"/>
    <w:rsid w:val="00CA39BC"/>
    <w:rsid w:val="00CA3CF8"/>
    <w:rsid w:val="00CA406F"/>
    <w:rsid w:val="00CA485B"/>
    <w:rsid w:val="00CA4FDD"/>
    <w:rsid w:val="00CA54F0"/>
    <w:rsid w:val="00CA556C"/>
    <w:rsid w:val="00CA5588"/>
    <w:rsid w:val="00CB01A0"/>
    <w:rsid w:val="00CB041C"/>
    <w:rsid w:val="00CB1628"/>
    <w:rsid w:val="00CB3181"/>
    <w:rsid w:val="00CB3B73"/>
    <w:rsid w:val="00CB3D7F"/>
    <w:rsid w:val="00CB4F0A"/>
    <w:rsid w:val="00CB4FEA"/>
    <w:rsid w:val="00CB527F"/>
    <w:rsid w:val="00CB552A"/>
    <w:rsid w:val="00CB5583"/>
    <w:rsid w:val="00CB562B"/>
    <w:rsid w:val="00CB5BAA"/>
    <w:rsid w:val="00CB5E03"/>
    <w:rsid w:val="00CB61A3"/>
    <w:rsid w:val="00CB7AAF"/>
    <w:rsid w:val="00CB7FB8"/>
    <w:rsid w:val="00CC0D71"/>
    <w:rsid w:val="00CC135C"/>
    <w:rsid w:val="00CC3C4F"/>
    <w:rsid w:val="00CC3DE1"/>
    <w:rsid w:val="00CC4D96"/>
    <w:rsid w:val="00CC55F1"/>
    <w:rsid w:val="00CC5A5E"/>
    <w:rsid w:val="00CC6AD2"/>
    <w:rsid w:val="00CC72DA"/>
    <w:rsid w:val="00CC7C66"/>
    <w:rsid w:val="00CD0D89"/>
    <w:rsid w:val="00CD16EA"/>
    <w:rsid w:val="00CD1BDA"/>
    <w:rsid w:val="00CD217C"/>
    <w:rsid w:val="00CD37F3"/>
    <w:rsid w:val="00CD3835"/>
    <w:rsid w:val="00CD3CF6"/>
    <w:rsid w:val="00CD402C"/>
    <w:rsid w:val="00CD411B"/>
    <w:rsid w:val="00CD5CBE"/>
    <w:rsid w:val="00CD6E93"/>
    <w:rsid w:val="00CD78F5"/>
    <w:rsid w:val="00CE1EF3"/>
    <w:rsid w:val="00CE2E35"/>
    <w:rsid w:val="00CE2F1F"/>
    <w:rsid w:val="00CE324D"/>
    <w:rsid w:val="00CE36BF"/>
    <w:rsid w:val="00CE37C1"/>
    <w:rsid w:val="00CE509C"/>
    <w:rsid w:val="00CE534F"/>
    <w:rsid w:val="00CE6181"/>
    <w:rsid w:val="00CE6615"/>
    <w:rsid w:val="00CE6742"/>
    <w:rsid w:val="00CE6906"/>
    <w:rsid w:val="00CE692F"/>
    <w:rsid w:val="00CE6F5E"/>
    <w:rsid w:val="00CF102A"/>
    <w:rsid w:val="00CF1DAC"/>
    <w:rsid w:val="00CF1DF8"/>
    <w:rsid w:val="00CF24BB"/>
    <w:rsid w:val="00CF2529"/>
    <w:rsid w:val="00CF2B15"/>
    <w:rsid w:val="00CF2FCF"/>
    <w:rsid w:val="00CF33F6"/>
    <w:rsid w:val="00CF34D6"/>
    <w:rsid w:val="00CF35A0"/>
    <w:rsid w:val="00CF3C49"/>
    <w:rsid w:val="00CF3D80"/>
    <w:rsid w:val="00CF3FAE"/>
    <w:rsid w:val="00CF40A9"/>
    <w:rsid w:val="00CF42EA"/>
    <w:rsid w:val="00CF44A6"/>
    <w:rsid w:val="00CF4545"/>
    <w:rsid w:val="00CF47D5"/>
    <w:rsid w:val="00CF51C6"/>
    <w:rsid w:val="00CF5678"/>
    <w:rsid w:val="00CF5BC7"/>
    <w:rsid w:val="00CF60F9"/>
    <w:rsid w:val="00CF6378"/>
    <w:rsid w:val="00CF6A05"/>
    <w:rsid w:val="00CF6D47"/>
    <w:rsid w:val="00CF6E96"/>
    <w:rsid w:val="00CF6FA0"/>
    <w:rsid w:val="00CF7EBF"/>
    <w:rsid w:val="00D00616"/>
    <w:rsid w:val="00D00C81"/>
    <w:rsid w:val="00D02383"/>
    <w:rsid w:val="00D03741"/>
    <w:rsid w:val="00D0377E"/>
    <w:rsid w:val="00D03AB1"/>
    <w:rsid w:val="00D0406B"/>
    <w:rsid w:val="00D0410F"/>
    <w:rsid w:val="00D0423B"/>
    <w:rsid w:val="00D04A13"/>
    <w:rsid w:val="00D04C6D"/>
    <w:rsid w:val="00D05116"/>
    <w:rsid w:val="00D055B3"/>
    <w:rsid w:val="00D056F4"/>
    <w:rsid w:val="00D06080"/>
    <w:rsid w:val="00D0671B"/>
    <w:rsid w:val="00D06C0A"/>
    <w:rsid w:val="00D10A72"/>
    <w:rsid w:val="00D124C7"/>
    <w:rsid w:val="00D12D76"/>
    <w:rsid w:val="00D12D9F"/>
    <w:rsid w:val="00D14062"/>
    <w:rsid w:val="00D152D1"/>
    <w:rsid w:val="00D1632C"/>
    <w:rsid w:val="00D16ACD"/>
    <w:rsid w:val="00D17633"/>
    <w:rsid w:val="00D20019"/>
    <w:rsid w:val="00D200C9"/>
    <w:rsid w:val="00D20974"/>
    <w:rsid w:val="00D21B59"/>
    <w:rsid w:val="00D22556"/>
    <w:rsid w:val="00D2275C"/>
    <w:rsid w:val="00D23A3D"/>
    <w:rsid w:val="00D247C0"/>
    <w:rsid w:val="00D24E35"/>
    <w:rsid w:val="00D24E58"/>
    <w:rsid w:val="00D25B28"/>
    <w:rsid w:val="00D25F29"/>
    <w:rsid w:val="00D303B9"/>
    <w:rsid w:val="00D30D55"/>
    <w:rsid w:val="00D30FA8"/>
    <w:rsid w:val="00D31414"/>
    <w:rsid w:val="00D3142D"/>
    <w:rsid w:val="00D314B8"/>
    <w:rsid w:val="00D31CAF"/>
    <w:rsid w:val="00D32B75"/>
    <w:rsid w:val="00D32CFE"/>
    <w:rsid w:val="00D32F8A"/>
    <w:rsid w:val="00D33944"/>
    <w:rsid w:val="00D33EFA"/>
    <w:rsid w:val="00D349BA"/>
    <w:rsid w:val="00D3553F"/>
    <w:rsid w:val="00D36057"/>
    <w:rsid w:val="00D3670C"/>
    <w:rsid w:val="00D37C64"/>
    <w:rsid w:val="00D404F6"/>
    <w:rsid w:val="00D40E11"/>
    <w:rsid w:val="00D41097"/>
    <w:rsid w:val="00D42226"/>
    <w:rsid w:val="00D4260A"/>
    <w:rsid w:val="00D449DF"/>
    <w:rsid w:val="00D44E00"/>
    <w:rsid w:val="00D465DD"/>
    <w:rsid w:val="00D479F3"/>
    <w:rsid w:val="00D47E90"/>
    <w:rsid w:val="00D51D03"/>
    <w:rsid w:val="00D52782"/>
    <w:rsid w:val="00D5279E"/>
    <w:rsid w:val="00D52C1A"/>
    <w:rsid w:val="00D52F98"/>
    <w:rsid w:val="00D52FEA"/>
    <w:rsid w:val="00D53103"/>
    <w:rsid w:val="00D533D0"/>
    <w:rsid w:val="00D53FC8"/>
    <w:rsid w:val="00D5410C"/>
    <w:rsid w:val="00D54371"/>
    <w:rsid w:val="00D55299"/>
    <w:rsid w:val="00D55EC7"/>
    <w:rsid w:val="00D5685B"/>
    <w:rsid w:val="00D570D3"/>
    <w:rsid w:val="00D60D8B"/>
    <w:rsid w:val="00D61BA9"/>
    <w:rsid w:val="00D61CCA"/>
    <w:rsid w:val="00D62266"/>
    <w:rsid w:val="00D62DF4"/>
    <w:rsid w:val="00D63DF3"/>
    <w:rsid w:val="00D6465B"/>
    <w:rsid w:val="00D64890"/>
    <w:rsid w:val="00D6505C"/>
    <w:rsid w:val="00D66AB0"/>
    <w:rsid w:val="00D66B0D"/>
    <w:rsid w:val="00D66BFD"/>
    <w:rsid w:val="00D66D88"/>
    <w:rsid w:val="00D70117"/>
    <w:rsid w:val="00D705EB"/>
    <w:rsid w:val="00D709AF"/>
    <w:rsid w:val="00D70D2E"/>
    <w:rsid w:val="00D71341"/>
    <w:rsid w:val="00D71674"/>
    <w:rsid w:val="00D72675"/>
    <w:rsid w:val="00D730EA"/>
    <w:rsid w:val="00D73D7F"/>
    <w:rsid w:val="00D75018"/>
    <w:rsid w:val="00D75085"/>
    <w:rsid w:val="00D75140"/>
    <w:rsid w:val="00D7571E"/>
    <w:rsid w:val="00D75E72"/>
    <w:rsid w:val="00D75EDD"/>
    <w:rsid w:val="00D76495"/>
    <w:rsid w:val="00D768EC"/>
    <w:rsid w:val="00D77D12"/>
    <w:rsid w:val="00D80171"/>
    <w:rsid w:val="00D809DD"/>
    <w:rsid w:val="00D80C9A"/>
    <w:rsid w:val="00D81CF0"/>
    <w:rsid w:val="00D82140"/>
    <w:rsid w:val="00D821CA"/>
    <w:rsid w:val="00D8235D"/>
    <w:rsid w:val="00D83FE7"/>
    <w:rsid w:val="00D84666"/>
    <w:rsid w:val="00D849F9"/>
    <w:rsid w:val="00D84C6F"/>
    <w:rsid w:val="00D851AC"/>
    <w:rsid w:val="00D85248"/>
    <w:rsid w:val="00D85ED8"/>
    <w:rsid w:val="00D862CF"/>
    <w:rsid w:val="00D86F72"/>
    <w:rsid w:val="00D87108"/>
    <w:rsid w:val="00D87282"/>
    <w:rsid w:val="00D87730"/>
    <w:rsid w:val="00D87B59"/>
    <w:rsid w:val="00D90D15"/>
    <w:rsid w:val="00D91F4C"/>
    <w:rsid w:val="00D92AA1"/>
    <w:rsid w:val="00D9339A"/>
    <w:rsid w:val="00D93A80"/>
    <w:rsid w:val="00D9458D"/>
    <w:rsid w:val="00D950EC"/>
    <w:rsid w:val="00D95416"/>
    <w:rsid w:val="00D95629"/>
    <w:rsid w:val="00D95779"/>
    <w:rsid w:val="00D95BCB"/>
    <w:rsid w:val="00D96076"/>
    <w:rsid w:val="00D96DAE"/>
    <w:rsid w:val="00D971CE"/>
    <w:rsid w:val="00DA005C"/>
    <w:rsid w:val="00DA00AF"/>
    <w:rsid w:val="00DA03BF"/>
    <w:rsid w:val="00DA040B"/>
    <w:rsid w:val="00DA0BCA"/>
    <w:rsid w:val="00DA276C"/>
    <w:rsid w:val="00DA2DA2"/>
    <w:rsid w:val="00DA394A"/>
    <w:rsid w:val="00DA3F71"/>
    <w:rsid w:val="00DA5229"/>
    <w:rsid w:val="00DA6CD9"/>
    <w:rsid w:val="00DA7369"/>
    <w:rsid w:val="00DA73A4"/>
    <w:rsid w:val="00DA7565"/>
    <w:rsid w:val="00DA76FC"/>
    <w:rsid w:val="00DA7E73"/>
    <w:rsid w:val="00DB015D"/>
    <w:rsid w:val="00DB121C"/>
    <w:rsid w:val="00DB18A8"/>
    <w:rsid w:val="00DB18A9"/>
    <w:rsid w:val="00DB1B3E"/>
    <w:rsid w:val="00DB2CF7"/>
    <w:rsid w:val="00DB3108"/>
    <w:rsid w:val="00DB386D"/>
    <w:rsid w:val="00DB3D1E"/>
    <w:rsid w:val="00DB4062"/>
    <w:rsid w:val="00DB5B81"/>
    <w:rsid w:val="00DB71D0"/>
    <w:rsid w:val="00DB7823"/>
    <w:rsid w:val="00DB79C6"/>
    <w:rsid w:val="00DB7C39"/>
    <w:rsid w:val="00DC02D4"/>
    <w:rsid w:val="00DC0B21"/>
    <w:rsid w:val="00DC1B1F"/>
    <w:rsid w:val="00DC1F0A"/>
    <w:rsid w:val="00DC2B59"/>
    <w:rsid w:val="00DC3BE7"/>
    <w:rsid w:val="00DC432A"/>
    <w:rsid w:val="00DC435F"/>
    <w:rsid w:val="00DC48C3"/>
    <w:rsid w:val="00DC50D7"/>
    <w:rsid w:val="00DC5C53"/>
    <w:rsid w:val="00DC765A"/>
    <w:rsid w:val="00DD08A9"/>
    <w:rsid w:val="00DD0D81"/>
    <w:rsid w:val="00DD1C76"/>
    <w:rsid w:val="00DD2807"/>
    <w:rsid w:val="00DD2BE1"/>
    <w:rsid w:val="00DD2DEB"/>
    <w:rsid w:val="00DD319C"/>
    <w:rsid w:val="00DD3491"/>
    <w:rsid w:val="00DD3C54"/>
    <w:rsid w:val="00DD5A89"/>
    <w:rsid w:val="00DD62DD"/>
    <w:rsid w:val="00DD6ED5"/>
    <w:rsid w:val="00DD6FDC"/>
    <w:rsid w:val="00DD70A3"/>
    <w:rsid w:val="00DD72FA"/>
    <w:rsid w:val="00DE0E64"/>
    <w:rsid w:val="00DE281F"/>
    <w:rsid w:val="00DE31A4"/>
    <w:rsid w:val="00DE3A82"/>
    <w:rsid w:val="00DE4671"/>
    <w:rsid w:val="00DE49FA"/>
    <w:rsid w:val="00DE4AB7"/>
    <w:rsid w:val="00DE4C84"/>
    <w:rsid w:val="00DE5421"/>
    <w:rsid w:val="00DE5636"/>
    <w:rsid w:val="00DE64E4"/>
    <w:rsid w:val="00DE6F5E"/>
    <w:rsid w:val="00DE7259"/>
    <w:rsid w:val="00DE73B4"/>
    <w:rsid w:val="00DF0D7C"/>
    <w:rsid w:val="00DF0DA9"/>
    <w:rsid w:val="00DF22FF"/>
    <w:rsid w:val="00DF30AB"/>
    <w:rsid w:val="00DF392D"/>
    <w:rsid w:val="00DF3BD3"/>
    <w:rsid w:val="00DF3C54"/>
    <w:rsid w:val="00DF46A6"/>
    <w:rsid w:val="00DF4DFB"/>
    <w:rsid w:val="00DF4E8A"/>
    <w:rsid w:val="00DF5BB8"/>
    <w:rsid w:val="00DF67D7"/>
    <w:rsid w:val="00DF6B64"/>
    <w:rsid w:val="00DF70BE"/>
    <w:rsid w:val="00DF7570"/>
    <w:rsid w:val="00DF767A"/>
    <w:rsid w:val="00E003C4"/>
    <w:rsid w:val="00E00E1A"/>
    <w:rsid w:val="00E02F2A"/>
    <w:rsid w:val="00E03203"/>
    <w:rsid w:val="00E032D4"/>
    <w:rsid w:val="00E038C8"/>
    <w:rsid w:val="00E03AA6"/>
    <w:rsid w:val="00E03B00"/>
    <w:rsid w:val="00E04852"/>
    <w:rsid w:val="00E04F8B"/>
    <w:rsid w:val="00E05B37"/>
    <w:rsid w:val="00E05F3F"/>
    <w:rsid w:val="00E066AF"/>
    <w:rsid w:val="00E06AC6"/>
    <w:rsid w:val="00E06E83"/>
    <w:rsid w:val="00E07341"/>
    <w:rsid w:val="00E07636"/>
    <w:rsid w:val="00E07876"/>
    <w:rsid w:val="00E07AEF"/>
    <w:rsid w:val="00E10765"/>
    <w:rsid w:val="00E10A07"/>
    <w:rsid w:val="00E10C34"/>
    <w:rsid w:val="00E10D4F"/>
    <w:rsid w:val="00E11268"/>
    <w:rsid w:val="00E1210C"/>
    <w:rsid w:val="00E125A0"/>
    <w:rsid w:val="00E1365D"/>
    <w:rsid w:val="00E13949"/>
    <w:rsid w:val="00E13CE3"/>
    <w:rsid w:val="00E14037"/>
    <w:rsid w:val="00E14C87"/>
    <w:rsid w:val="00E151B7"/>
    <w:rsid w:val="00E15568"/>
    <w:rsid w:val="00E1603A"/>
    <w:rsid w:val="00E16351"/>
    <w:rsid w:val="00E16564"/>
    <w:rsid w:val="00E166C7"/>
    <w:rsid w:val="00E1696E"/>
    <w:rsid w:val="00E178EF"/>
    <w:rsid w:val="00E17E0B"/>
    <w:rsid w:val="00E207DD"/>
    <w:rsid w:val="00E2095A"/>
    <w:rsid w:val="00E20D71"/>
    <w:rsid w:val="00E20DB7"/>
    <w:rsid w:val="00E21217"/>
    <w:rsid w:val="00E21381"/>
    <w:rsid w:val="00E21856"/>
    <w:rsid w:val="00E21BED"/>
    <w:rsid w:val="00E22588"/>
    <w:rsid w:val="00E22B74"/>
    <w:rsid w:val="00E23844"/>
    <w:rsid w:val="00E23EB2"/>
    <w:rsid w:val="00E23F9F"/>
    <w:rsid w:val="00E24A5D"/>
    <w:rsid w:val="00E250E9"/>
    <w:rsid w:val="00E25419"/>
    <w:rsid w:val="00E25E3B"/>
    <w:rsid w:val="00E25E84"/>
    <w:rsid w:val="00E25EA5"/>
    <w:rsid w:val="00E26607"/>
    <w:rsid w:val="00E26BB5"/>
    <w:rsid w:val="00E26DEE"/>
    <w:rsid w:val="00E26FA7"/>
    <w:rsid w:val="00E27550"/>
    <w:rsid w:val="00E278DD"/>
    <w:rsid w:val="00E302DF"/>
    <w:rsid w:val="00E3052E"/>
    <w:rsid w:val="00E30534"/>
    <w:rsid w:val="00E30737"/>
    <w:rsid w:val="00E309CE"/>
    <w:rsid w:val="00E3110B"/>
    <w:rsid w:val="00E3221E"/>
    <w:rsid w:val="00E325EC"/>
    <w:rsid w:val="00E32986"/>
    <w:rsid w:val="00E32D1E"/>
    <w:rsid w:val="00E347BC"/>
    <w:rsid w:val="00E348B8"/>
    <w:rsid w:val="00E359B3"/>
    <w:rsid w:val="00E35E46"/>
    <w:rsid w:val="00E3651A"/>
    <w:rsid w:val="00E3691B"/>
    <w:rsid w:val="00E36F55"/>
    <w:rsid w:val="00E40076"/>
    <w:rsid w:val="00E418C5"/>
    <w:rsid w:val="00E426F5"/>
    <w:rsid w:val="00E42C9D"/>
    <w:rsid w:val="00E43700"/>
    <w:rsid w:val="00E4389D"/>
    <w:rsid w:val="00E4442E"/>
    <w:rsid w:val="00E44C6A"/>
    <w:rsid w:val="00E45277"/>
    <w:rsid w:val="00E45C8A"/>
    <w:rsid w:val="00E46BBA"/>
    <w:rsid w:val="00E46C9E"/>
    <w:rsid w:val="00E46F0C"/>
    <w:rsid w:val="00E47373"/>
    <w:rsid w:val="00E47422"/>
    <w:rsid w:val="00E47F7C"/>
    <w:rsid w:val="00E500A7"/>
    <w:rsid w:val="00E504F8"/>
    <w:rsid w:val="00E5064A"/>
    <w:rsid w:val="00E50DBE"/>
    <w:rsid w:val="00E516C7"/>
    <w:rsid w:val="00E521B6"/>
    <w:rsid w:val="00E525FD"/>
    <w:rsid w:val="00E5285F"/>
    <w:rsid w:val="00E53302"/>
    <w:rsid w:val="00E5345A"/>
    <w:rsid w:val="00E5390E"/>
    <w:rsid w:val="00E53C31"/>
    <w:rsid w:val="00E53C5E"/>
    <w:rsid w:val="00E54031"/>
    <w:rsid w:val="00E5483A"/>
    <w:rsid w:val="00E553F2"/>
    <w:rsid w:val="00E557ED"/>
    <w:rsid w:val="00E5699D"/>
    <w:rsid w:val="00E57064"/>
    <w:rsid w:val="00E57161"/>
    <w:rsid w:val="00E57174"/>
    <w:rsid w:val="00E57189"/>
    <w:rsid w:val="00E6011E"/>
    <w:rsid w:val="00E606C4"/>
    <w:rsid w:val="00E60BB6"/>
    <w:rsid w:val="00E61D65"/>
    <w:rsid w:val="00E628D0"/>
    <w:rsid w:val="00E62EE9"/>
    <w:rsid w:val="00E640D1"/>
    <w:rsid w:val="00E642A9"/>
    <w:rsid w:val="00E64680"/>
    <w:rsid w:val="00E646F5"/>
    <w:rsid w:val="00E6498E"/>
    <w:rsid w:val="00E64BBC"/>
    <w:rsid w:val="00E6518F"/>
    <w:rsid w:val="00E651C3"/>
    <w:rsid w:val="00E65527"/>
    <w:rsid w:val="00E65597"/>
    <w:rsid w:val="00E65BE4"/>
    <w:rsid w:val="00E65E18"/>
    <w:rsid w:val="00E65F5A"/>
    <w:rsid w:val="00E66377"/>
    <w:rsid w:val="00E664E9"/>
    <w:rsid w:val="00E672DA"/>
    <w:rsid w:val="00E67540"/>
    <w:rsid w:val="00E67C52"/>
    <w:rsid w:val="00E67D94"/>
    <w:rsid w:val="00E7005B"/>
    <w:rsid w:val="00E709A9"/>
    <w:rsid w:val="00E70DE0"/>
    <w:rsid w:val="00E71509"/>
    <w:rsid w:val="00E718EF"/>
    <w:rsid w:val="00E72543"/>
    <w:rsid w:val="00E72D1B"/>
    <w:rsid w:val="00E736EA"/>
    <w:rsid w:val="00E74125"/>
    <w:rsid w:val="00E74A5E"/>
    <w:rsid w:val="00E755B3"/>
    <w:rsid w:val="00E757F2"/>
    <w:rsid w:val="00E76106"/>
    <w:rsid w:val="00E77267"/>
    <w:rsid w:val="00E77423"/>
    <w:rsid w:val="00E77E6D"/>
    <w:rsid w:val="00E77F0D"/>
    <w:rsid w:val="00E80333"/>
    <w:rsid w:val="00E80804"/>
    <w:rsid w:val="00E80CD9"/>
    <w:rsid w:val="00E81411"/>
    <w:rsid w:val="00E81552"/>
    <w:rsid w:val="00E81B5C"/>
    <w:rsid w:val="00E81ECB"/>
    <w:rsid w:val="00E8223A"/>
    <w:rsid w:val="00E82402"/>
    <w:rsid w:val="00E8282B"/>
    <w:rsid w:val="00E8353A"/>
    <w:rsid w:val="00E83C49"/>
    <w:rsid w:val="00E85015"/>
    <w:rsid w:val="00E86319"/>
    <w:rsid w:val="00E86F6D"/>
    <w:rsid w:val="00E8760E"/>
    <w:rsid w:val="00E87B1E"/>
    <w:rsid w:val="00E87C88"/>
    <w:rsid w:val="00E87FB6"/>
    <w:rsid w:val="00E90950"/>
    <w:rsid w:val="00E9142A"/>
    <w:rsid w:val="00E91771"/>
    <w:rsid w:val="00E925AC"/>
    <w:rsid w:val="00E9294A"/>
    <w:rsid w:val="00E93651"/>
    <w:rsid w:val="00E9393A"/>
    <w:rsid w:val="00E9697C"/>
    <w:rsid w:val="00E96A82"/>
    <w:rsid w:val="00E979D4"/>
    <w:rsid w:val="00E97A41"/>
    <w:rsid w:val="00EA0147"/>
    <w:rsid w:val="00EA0280"/>
    <w:rsid w:val="00EA0C90"/>
    <w:rsid w:val="00EA15CE"/>
    <w:rsid w:val="00EA23C9"/>
    <w:rsid w:val="00EA244E"/>
    <w:rsid w:val="00EA2E5D"/>
    <w:rsid w:val="00EA350B"/>
    <w:rsid w:val="00EA3BE5"/>
    <w:rsid w:val="00EA4359"/>
    <w:rsid w:val="00EA43BB"/>
    <w:rsid w:val="00EA47A3"/>
    <w:rsid w:val="00EA49ED"/>
    <w:rsid w:val="00EA503D"/>
    <w:rsid w:val="00EA5482"/>
    <w:rsid w:val="00EA65DE"/>
    <w:rsid w:val="00EA67C8"/>
    <w:rsid w:val="00EA738E"/>
    <w:rsid w:val="00EB0060"/>
    <w:rsid w:val="00EB019A"/>
    <w:rsid w:val="00EB05B3"/>
    <w:rsid w:val="00EB1B69"/>
    <w:rsid w:val="00EB23BB"/>
    <w:rsid w:val="00EB37A1"/>
    <w:rsid w:val="00EB37B9"/>
    <w:rsid w:val="00EB382F"/>
    <w:rsid w:val="00EB3A9B"/>
    <w:rsid w:val="00EB3B18"/>
    <w:rsid w:val="00EB4C99"/>
    <w:rsid w:val="00EB4CD1"/>
    <w:rsid w:val="00EB5F01"/>
    <w:rsid w:val="00EB6892"/>
    <w:rsid w:val="00EB6E73"/>
    <w:rsid w:val="00EB73AF"/>
    <w:rsid w:val="00EC0A12"/>
    <w:rsid w:val="00EC19FE"/>
    <w:rsid w:val="00EC1D85"/>
    <w:rsid w:val="00EC26F8"/>
    <w:rsid w:val="00EC276C"/>
    <w:rsid w:val="00EC37AC"/>
    <w:rsid w:val="00EC38F6"/>
    <w:rsid w:val="00EC4782"/>
    <w:rsid w:val="00EC4AEB"/>
    <w:rsid w:val="00EC5633"/>
    <w:rsid w:val="00EC6535"/>
    <w:rsid w:val="00ED00BE"/>
    <w:rsid w:val="00ED0105"/>
    <w:rsid w:val="00ED0282"/>
    <w:rsid w:val="00ED0BB8"/>
    <w:rsid w:val="00ED0F0F"/>
    <w:rsid w:val="00ED1285"/>
    <w:rsid w:val="00ED29CE"/>
    <w:rsid w:val="00ED3348"/>
    <w:rsid w:val="00ED37B1"/>
    <w:rsid w:val="00ED37B2"/>
    <w:rsid w:val="00ED38FD"/>
    <w:rsid w:val="00ED39EF"/>
    <w:rsid w:val="00ED42C0"/>
    <w:rsid w:val="00ED4EE4"/>
    <w:rsid w:val="00ED51DA"/>
    <w:rsid w:val="00ED55F2"/>
    <w:rsid w:val="00ED6673"/>
    <w:rsid w:val="00ED669E"/>
    <w:rsid w:val="00ED6D07"/>
    <w:rsid w:val="00ED6F84"/>
    <w:rsid w:val="00ED754C"/>
    <w:rsid w:val="00ED793B"/>
    <w:rsid w:val="00ED7A15"/>
    <w:rsid w:val="00ED7B88"/>
    <w:rsid w:val="00EE019E"/>
    <w:rsid w:val="00EE01D3"/>
    <w:rsid w:val="00EE0E5F"/>
    <w:rsid w:val="00EE139D"/>
    <w:rsid w:val="00EE2083"/>
    <w:rsid w:val="00EE3779"/>
    <w:rsid w:val="00EE46EA"/>
    <w:rsid w:val="00EE5935"/>
    <w:rsid w:val="00EE5AFA"/>
    <w:rsid w:val="00EE5B14"/>
    <w:rsid w:val="00EE6DAC"/>
    <w:rsid w:val="00EE6EBB"/>
    <w:rsid w:val="00EE6F6E"/>
    <w:rsid w:val="00EF1225"/>
    <w:rsid w:val="00EF15CD"/>
    <w:rsid w:val="00EF1798"/>
    <w:rsid w:val="00EF2890"/>
    <w:rsid w:val="00EF312A"/>
    <w:rsid w:val="00EF35A5"/>
    <w:rsid w:val="00EF39F4"/>
    <w:rsid w:val="00EF4909"/>
    <w:rsid w:val="00EF4A72"/>
    <w:rsid w:val="00EF502F"/>
    <w:rsid w:val="00EF50D4"/>
    <w:rsid w:val="00EF57B5"/>
    <w:rsid w:val="00EF5AAA"/>
    <w:rsid w:val="00EF683F"/>
    <w:rsid w:val="00EF7632"/>
    <w:rsid w:val="00EF7F79"/>
    <w:rsid w:val="00F0029C"/>
    <w:rsid w:val="00F01369"/>
    <w:rsid w:val="00F02D43"/>
    <w:rsid w:val="00F031F1"/>
    <w:rsid w:val="00F03B3D"/>
    <w:rsid w:val="00F05162"/>
    <w:rsid w:val="00F052CB"/>
    <w:rsid w:val="00F055BF"/>
    <w:rsid w:val="00F05716"/>
    <w:rsid w:val="00F058C7"/>
    <w:rsid w:val="00F05BCC"/>
    <w:rsid w:val="00F05FFA"/>
    <w:rsid w:val="00F06638"/>
    <w:rsid w:val="00F0696A"/>
    <w:rsid w:val="00F1061F"/>
    <w:rsid w:val="00F108F7"/>
    <w:rsid w:val="00F10971"/>
    <w:rsid w:val="00F10D51"/>
    <w:rsid w:val="00F10EE8"/>
    <w:rsid w:val="00F11677"/>
    <w:rsid w:val="00F11997"/>
    <w:rsid w:val="00F11D64"/>
    <w:rsid w:val="00F1265D"/>
    <w:rsid w:val="00F12B4E"/>
    <w:rsid w:val="00F1366A"/>
    <w:rsid w:val="00F13DA4"/>
    <w:rsid w:val="00F14105"/>
    <w:rsid w:val="00F15981"/>
    <w:rsid w:val="00F161AA"/>
    <w:rsid w:val="00F1620A"/>
    <w:rsid w:val="00F16A08"/>
    <w:rsid w:val="00F1708E"/>
    <w:rsid w:val="00F17B3A"/>
    <w:rsid w:val="00F2000C"/>
    <w:rsid w:val="00F20B85"/>
    <w:rsid w:val="00F20BDD"/>
    <w:rsid w:val="00F20E61"/>
    <w:rsid w:val="00F20E74"/>
    <w:rsid w:val="00F214A6"/>
    <w:rsid w:val="00F220FB"/>
    <w:rsid w:val="00F23079"/>
    <w:rsid w:val="00F2319F"/>
    <w:rsid w:val="00F24177"/>
    <w:rsid w:val="00F24D02"/>
    <w:rsid w:val="00F24D7B"/>
    <w:rsid w:val="00F257B3"/>
    <w:rsid w:val="00F260CA"/>
    <w:rsid w:val="00F2626F"/>
    <w:rsid w:val="00F263BC"/>
    <w:rsid w:val="00F26FA4"/>
    <w:rsid w:val="00F274F6"/>
    <w:rsid w:val="00F27D6E"/>
    <w:rsid w:val="00F27EA3"/>
    <w:rsid w:val="00F27ED7"/>
    <w:rsid w:val="00F27F5C"/>
    <w:rsid w:val="00F30B77"/>
    <w:rsid w:val="00F3123C"/>
    <w:rsid w:val="00F3157C"/>
    <w:rsid w:val="00F325D9"/>
    <w:rsid w:val="00F326FB"/>
    <w:rsid w:val="00F3340C"/>
    <w:rsid w:val="00F335F9"/>
    <w:rsid w:val="00F33E45"/>
    <w:rsid w:val="00F351E8"/>
    <w:rsid w:val="00F35298"/>
    <w:rsid w:val="00F35A37"/>
    <w:rsid w:val="00F35AEE"/>
    <w:rsid w:val="00F35F11"/>
    <w:rsid w:val="00F361A3"/>
    <w:rsid w:val="00F36E6D"/>
    <w:rsid w:val="00F37683"/>
    <w:rsid w:val="00F37A67"/>
    <w:rsid w:val="00F403B2"/>
    <w:rsid w:val="00F40927"/>
    <w:rsid w:val="00F415E5"/>
    <w:rsid w:val="00F41F12"/>
    <w:rsid w:val="00F4227D"/>
    <w:rsid w:val="00F42576"/>
    <w:rsid w:val="00F42BBE"/>
    <w:rsid w:val="00F43D88"/>
    <w:rsid w:val="00F43DE1"/>
    <w:rsid w:val="00F442A6"/>
    <w:rsid w:val="00F44C39"/>
    <w:rsid w:val="00F457A5"/>
    <w:rsid w:val="00F45F18"/>
    <w:rsid w:val="00F468D9"/>
    <w:rsid w:val="00F46BE8"/>
    <w:rsid w:val="00F470B8"/>
    <w:rsid w:val="00F473DA"/>
    <w:rsid w:val="00F473F1"/>
    <w:rsid w:val="00F508C8"/>
    <w:rsid w:val="00F50CFA"/>
    <w:rsid w:val="00F51811"/>
    <w:rsid w:val="00F51AF0"/>
    <w:rsid w:val="00F52A97"/>
    <w:rsid w:val="00F52BFD"/>
    <w:rsid w:val="00F52D6A"/>
    <w:rsid w:val="00F530BF"/>
    <w:rsid w:val="00F547A8"/>
    <w:rsid w:val="00F54C2A"/>
    <w:rsid w:val="00F55475"/>
    <w:rsid w:val="00F563BE"/>
    <w:rsid w:val="00F56C93"/>
    <w:rsid w:val="00F5766B"/>
    <w:rsid w:val="00F57CF5"/>
    <w:rsid w:val="00F60514"/>
    <w:rsid w:val="00F60E93"/>
    <w:rsid w:val="00F61BE9"/>
    <w:rsid w:val="00F61F81"/>
    <w:rsid w:val="00F6331C"/>
    <w:rsid w:val="00F63C04"/>
    <w:rsid w:val="00F6479E"/>
    <w:rsid w:val="00F64BCA"/>
    <w:rsid w:val="00F654F7"/>
    <w:rsid w:val="00F666F0"/>
    <w:rsid w:val="00F667E9"/>
    <w:rsid w:val="00F66AFE"/>
    <w:rsid w:val="00F679B4"/>
    <w:rsid w:val="00F7045A"/>
    <w:rsid w:val="00F70573"/>
    <w:rsid w:val="00F70807"/>
    <w:rsid w:val="00F720CF"/>
    <w:rsid w:val="00F72A12"/>
    <w:rsid w:val="00F736C0"/>
    <w:rsid w:val="00F73A2B"/>
    <w:rsid w:val="00F73EB0"/>
    <w:rsid w:val="00F744A4"/>
    <w:rsid w:val="00F74B66"/>
    <w:rsid w:val="00F74F64"/>
    <w:rsid w:val="00F75E29"/>
    <w:rsid w:val="00F75FF4"/>
    <w:rsid w:val="00F775FD"/>
    <w:rsid w:val="00F77B4E"/>
    <w:rsid w:val="00F80F99"/>
    <w:rsid w:val="00F81408"/>
    <w:rsid w:val="00F81BB8"/>
    <w:rsid w:val="00F82434"/>
    <w:rsid w:val="00F8280E"/>
    <w:rsid w:val="00F82F12"/>
    <w:rsid w:val="00F83935"/>
    <w:rsid w:val="00F84B1F"/>
    <w:rsid w:val="00F84E1C"/>
    <w:rsid w:val="00F85597"/>
    <w:rsid w:val="00F8564B"/>
    <w:rsid w:val="00F85F60"/>
    <w:rsid w:val="00F86C0A"/>
    <w:rsid w:val="00F91651"/>
    <w:rsid w:val="00F92375"/>
    <w:rsid w:val="00F92F5F"/>
    <w:rsid w:val="00F9447C"/>
    <w:rsid w:val="00F94784"/>
    <w:rsid w:val="00F959E9"/>
    <w:rsid w:val="00F963FF"/>
    <w:rsid w:val="00F96478"/>
    <w:rsid w:val="00F96EB4"/>
    <w:rsid w:val="00F97479"/>
    <w:rsid w:val="00F975A4"/>
    <w:rsid w:val="00F97875"/>
    <w:rsid w:val="00F97D0C"/>
    <w:rsid w:val="00FA074D"/>
    <w:rsid w:val="00FA1247"/>
    <w:rsid w:val="00FA2729"/>
    <w:rsid w:val="00FA30B6"/>
    <w:rsid w:val="00FA356F"/>
    <w:rsid w:val="00FA40CD"/>
    <w:rsid w:val="00FA4476"/>
    <w:rsid w:val="00FA4E07"/>
    <w:rsid w:val="00FA7E11"/>
    <w:rsid w:val="00FB044A"/>
    <w:rsid w:val="00FB2A04"/>
    <w:rsid w:val="00FB2A33"/>
    <w:rsid w:val="00FB2CF8"/>
    <w:rsid w:val="00FB2D71"/>
    <w:rsid w:val="00FB3476"/>
    <w:rsid w:val="00FB3CD9"/>
    <w:rsid w:val="00FB3D53"/>
    <w:rsid w:val="00FB4DDC"/>
    <w:rsid w:val="00FB5372"/>
    <w:rsid w:val="00FB78DB"/>
    <w:rsid w:val="00FC02A2"/>
    <w:rsid w:val="00FC0C9E"/>
    <w:rsid w:val="00FC1693"/>
    <w:rsid w:val="00FC177A"/>
    <w:rsid w:val="00FC21F6"/>
    <w:rsid w:val="00FC22D1"/>
    <w:rsid w:val="00FC2550"/>
    <w:rsid w:val="00FC2965"/>
    <w:rsid w:val="00FC358E"/>
    <w:rsid w:val="00FC503E"/>
    <w:rsid w:val="00FC5279"/>
    <w:rsid w:val="00FC5908"/>
    <w:rsid w:val="00FC6677"/>
    <w:rsid w:val="00FC686A"/>
    <w:rsid w:val="00FC6E2C"/>
    <w:rsid w:val="00FC70D4"/>
    <w:rsid w:val="00FC7CF6"/>
    <w:rsid w:val="00FD00A0"/>
    <w:rsid w:val="00FD14CA"/>
    <w:rsid w:val="00FD152B"/>
    <w:rsid w:val="00FD1931"/>
    <w:rsid w:val="00FD24CF"/>
    <w:rsid w:val="00FD3468"/>
    <w:rsid w:val="00FD450E"/>
    <w:rsid w:val="00FD5042"/>
    <w:rsid w:val="00FD51F6"/>
    <w:rsid w:val="00FD7407"/>
    <w:rsid w:val="00FE0342"/>
    <w:rsid w:val="00FE034C"/>
    <w:rsid w:val="00FE0574"/>
    <w:rsid w:val="00FE077A"/>
    <w:rsid w:val="00FE0847"/>
    <w:rsid w:val="00FE0F98"/>
    <w:rsid w:val="00FE1933"/>
    <w:rsid w:val="00FE1BF6"/>
    <w:rsid w:val="00FE2011"/>
    <w:rsid w:val="00FE36DA"/>
    <w:rsid w:val="00FE4144"/>
    <w:rsid w:val="00FE42F9"/>
    <w:rsid w:val="00FE4957"/>
    <w:rsid w:val="00FE4C58"/>
    <w:rsid w:val="00FE4E5B"/>
    <w:rsid w:val="00FE51F5"/>
    <w:rsid w:val="00FE661F"/>
    <w:rsid w:val="00FE6E15"/>
    <w:rsid w:val="00FE6E6E"/>
    <w:rsid w:val="00FE6E8A"/>
    <w:rsid w:val="00FE76E5"/>
    <w:rsid w:val="00FE7AE8"/>
    <w:rsid w:val="00FE7E85"/>
    <w:rsid w:val="00FF05D6"/>
    <w:rsid w:val="00FF12B1"/>
    <w:rsid w:val="00FF1C65"/>
    <w:rsid w:val="00FF2557"/>
    <w:rsid w:val="00FF28BD"/>
    <w:rsid w:val="00FF2C3F"/>
    <w:rsid w:val="00FF3F0E"/>
    <w:rsid w:val="00FF41C2"/>
    <w:rsid w:val="00FF454A"/>
    <w:rsid w:val="00FF4853"/>
    <w:rsid w:val="00FF5E54"/>
    <w:rsid w:val="00FF6261"/>
    <w:rsid w:val="00FF66CA"/>
    <w:rsid w:val="00FF72C0"/>
    <w:rsid w:val="00FF799D"/>
    <w:rsid w:val="00FF7AB6"/>
    <w:rsid w:val="01398990"/>
    <w:rsid w:val="015EFF2E"/>
    <w:rsid w:val="01696915"/>
    <w:rsid w:val="0185591A"/>
    <w:rsid w:val="0198F13B"/>
    <w:rsid w:val="0382C668"/>
    <w:rsid w:val="03874ED1"/>
    <w:rsid w:val="03B94507"/>
    <w:rsid w:val="04018965"/>
    <w:rsid w:val="053D01F6"/>
    <w:rsid w:val="055A6FC8"/>
    <w:rsid w:val="0568930C"/>
    <w:rsid w:val="056F69F9"/>
    <w:rsid w:val="0578BAAB"/>
    <w:rsid w:val="05AABCEF"/>
    <w:rsid w:val="0609C4D6"/>
    <w:rsid w:val="06127CFE"/>
    <w:rsid w:val="065A5DD4"/>
    <w:rsid w:val="066ADB37"/>
    <w:rsid w:val="06831E04"/>
    <w:rsid w:val="06B9E553"/>
    <w:rsid w:val="08F11DB1"/>
    <w:rsid w:val="093AB64D"/>
    <w:rsid w:val="09430A12"/>
    <w:rsid w:val="0A15BEC2"/>
    <w:rsid w:val="0A732FD0"/>
    <w:rsid w:val="0AB49D44"/>
    <w:rsid w:val="0BD26A95"/>
    <w:rsid w:val="0C077551"/>
    <w:rsid w:val="0C80D0F7"/>
    <w:rsid w:val="0C8EC0BB"/>
    <w:rsid w:val="0CDBE0E6"/>
    <w:rsid w:val="0D993D84"/>
    <w:rsid w:val="0E67E990"/>
    <w:rsid w:val="0F4B7676"/>
    <w:rsid w:val="10D9322E"/>
    <w:rsid w:val="11076BD9"/>
    <w:rsid w:val="11B5B39D"/>
    <w:rsid w:val="12628D6C"/>
    <w:rsid w:val="144A4DD2"/>
    <w:rsid w:val="14553267"/>
    <w:rsid w:val="1475CCF0"/>
    <w:rsid w:val="14D4B13D"/>
    <w:rsid w:val="15A11E07"/>
    <w:rsid w:val="15A2EF25"/>
    <w:rsid w:val="1647FCA3"/>
    <w:rsid w:val="184E74F5"/>
    <w:rsid w:val="1864A7FA"/>
    <w:rsid w:val="198EAE28"/>
    <w:rsid w:val="1998ECAE"/>
    <w:rsid w:val="199BC2FB"/>
    <w:rsid w:val="19E3F84C"/>
    <w:rsid w:val="1AD06AB9"/>
    <w:rsid w:val="1BBBD0E7"/>
    <w:rsid w:val="1BC2C9BE"/>
    <w:rsid w:val="1CE2F314"/>
    <w:rsid w:val="1CEED5BF"/>
    <w:rsid w:val="1D57A148"/>
    <w:rsid w:val="1DD15A15"/>
    <w:rsid w:val="1DDC0384"/>
    <w:rsid w:val="1E1C71E2"/>
    <w:rsid w:val="1E3D1DDF"/>
    <w:rsid w:val="1E91231C"/>
    <w:rsid w:val="1EC23084"/>
    <w:rsid w:val="208F420A"/>
    <w:rsid w:val="211DB53B"/>
    <w:rsid w:val="21CEB2AD"/>
    <w:rsid w:val="23B1F931"/>
    <w:rsid w:val="24525F6C"/>
    <w:rsid w:val="252882DE"/>
    <w:rsid w:val="254C3DEA"/>
    <w:rsid w:val="261E32E6"/>
    <w:rsid w:val="26B7C64D"/>
    <w:rsid w:val="26EB72E2"/>
    <w:rsid w:val="2716FFE2"/>
    <w:rsid w:val="28CC94EF"/>
    <w:rsid w:val="2A11CEC5"/>
    <w:rsid w:val="2AACCF7E"/>
    <w:rsid w:val="2B96678E"/>
    <w:rsid w:val="2B9FE7B1"/>
    <w:rsid w:val="2C34B121"/>
    <w:rsid w:val="2D157A61"/>
    <w:rsid w:val="2E45A49B"/>
    <w:rsid w:val="2ED933DA"/>
    <w:rsid w:val="2F6C51E3"/>
    <w:rsid w:val="2F7E63F9"/>
    <w:rsid w:val="30FA37C3"/>
    <w:rsid w:val="3180006A"/>
    <w:rsid w:val="318E4EB1"/>
    <w:rsid w:val="31E51185"/>
    <w:rsid w:val="3279DC47"/>
    <w:rsid w:val="327A59BA"/>
    <w:rsid w:val="35187E2A"/>
    <w:rsid w:val="3535B1CD"/>
    <w:rsid w:val="3611CCBB"/>
    <w:rsid w:val="36677234"/>
    <w:rsid w:val="36981C42"/>
    <w:rsid w:val="36F8168A"/>
    <w:rsid w:val="373E3B6E"/>
    <w:rsid w:val="37C53A50"/>
    <w:rsid w:val="37EF41EE"/>
    <w:rsid w:val="38DA0BCF"/>
    <w:rsid w:val="3A6C4342"/>
    <w:rsid w:val="3A95E682"/>
    <w:rsid w:val="3B5D5DA0"/>
    <w:rsid w:val="3B7BB7A1"/>
    <w:rsid w:val="3BCC057B"/>
    <w:rsid w:val="3BFB7BC0"/>
    <w:rsid w:val="3C11AC91"/>
    <w:rsid w:val="3C1BCDB9"/>
    <w:rsid w:val="3C829256"/>
    <w:rsid w:val="3CCDA1FB"/>
    <w:rsid w:val="3DEE7645"/>
    <w:rsid w:val="3DFE2AA5"/>
    <w:rsid w:val="3E03BAAA"/>
    <w:rsid w:val="3E0CD5C6"/>
    <w:rsid w:val="3E402658"/>
    <w:rsid w:val="3E4B72C6"/>
    <w:rsid w:val="3E5B1B01"/>
    <w:rsid w:val="3EEAAB46"/>
    <w:rsid w:val="4061C56F"/>
    <w:rsid w:val="40C39514"/>
    <w:rsid w:val="40C891CB"/>
    <w:rsid w:val="4124A61B"/>
    <w:rsid w:val="41E06DFF"/>
    <w:rsid w:val="41F93AB3"/>
    <w:rsid w:val="42120901"/>
    <w:rsid w:val="421337F1"/>
    <w:rsid w:val="433D13E1"/>
    <w:rsid w:val="43C12AEF"/>
    <w:rsid w:val="442D7EA8"/>
    <w:rsid w:val="449C18BF"/>
    <w:rsid w:val="451F2214"/>
    <w:rsid w:val="4569EBB6"/>
    <w:rsid w:val="45C256E6"/>
    <w:rsid w:val="46E2A4D8"/>
    <w:rsid w:val="47A50CEB"/>
    <w:rsid w:val="48077747"/>
    <w:rsid w:val="4912D8F4"/>
    <w:rsid w:val="49906A81"/>
    <w:rsid w:val="49BE7CEE"/>
    <w:rsid w:val="4BD3D711"/>
    <w:rsid w:val="4C91E296"/>
    <w:rsid w:val="4C923F1C"/>
    <w:rsid w:val="4F6DEA68"/>
    <w:rsid w:val="4FB01ED0"/>
    <w:rsid w:val="50026E8C"/>
    <w:rsid w:val="5071D74A"/>
    <w:rsid w:val="50D3B570"/>
    <w:rsid w:val="50F99616"/>
    <w:rsid w:val="5109BAC9"/>
    <w:rsid w:val="5146F703"/>
    <w:rsid w:val="531AB221"/>
    <w:rsid w:val="53E5E346"/>
    <w:rsid w:val="55147987"/>
    <w:rsid w:val="55A9E588"/>
    <w:rsid w:val="55F8667E"/>
    <w:rsid w:val="55FC3863"/>
    <w:rsid w:val="57574B10"/>
    <w:rsid w:val="57ABBB7A"/>
    <w:rsid w:val="581E405A"/>
    <w:rsid w:val="5987149A"/>
    <w:rsid w:val="59DB2EB1"/>
    <w:rsid w:val="5A052701"/>
    <w:rsid w:val="5A0632FA"/>
    <w:rsid w:val="5A319BAC"/>
    <w:rsid w:val="5AEA3706"/>
    <w:rsid w:val="5B2D08BA"/>
    <w:rsid w:val="5C8D9718"/>
    <w:rsid w:val="5CE20310"/>
    <w:rsid w:val="5DD435DB"/>
    <w:rsid w:val="5EF8BF8E"/>
    <w:rsid w:val="5F7FC0ED"/>
    <w:rsid w:val="5FF0C5EE"/>
    <w:rsid w:val="60D36853"/>
    <w:rsid w:val="619BFE0F"/>
    <w:rsid w:val="6254C361"/>
    <w:rsid w:val="62F82C7E"/>
    <w:rsid w:val="64603FEA"/>
    <w:rsid w:val="64A0A429"/>
    <w:rsid w:val="65744E53"/>
    <w:rsid w:val="65C331C5"/>
    <w:rsid w:val="66B9E37E"/>
    <w:rsid w:val="66E5B8B3"/>
    <w:rsid w:val="67B1DB78"/>
    <w:rsid w:val="68BB84CC"/>
    <w:rsid w:val="68FB0D0B"/>
    <w:rsid w:val="6919E9AB"/>
    <w:rsid w:val="69D39D8F"/>
    <w:rsid w:val="6B114BA8"/>
    <w:rsid w:val="6D80D8A6"/>
    <w:rsid w:val="6E6AEC9B"/>
    <w:rsid w:val="6EC8D77E"/>
    <w:rsid w:val="6F1FD4B4"/>
    <w:rsid w:val="6F7165D6"/>
    <w:rsid w:val="6F91D888"/>
    <w:rsid w:val="6FE7509C"/>
    <w:rsid w:val="6FFA5A56"/>
    <w:rsid w:val="7107F76D"/>
    <w:rsid w:val="728D95DA"/>
    <w:rsid w:val="743DBFB2"/>
    <w:rsid w:val="74A07C22"/>
    <w:rsid w:val="74E81B93"/>
    <w:rsid w:val="75E022A5"/>
    <w:rsid w:val="775C3817"/>
    <w:rsid w:val="77BAB50F"/>
    <w:rsid w:val="77D81CE4"/>
    <w:rsid w:val="7800DD14"/>
    <w:rsid w:val="788A0161"/>
    <w:rsid w:val="78A52378"/>
    <w:rsid w:val="78CA0065"/>
    <w:rsid w:val="792D4AEE"/>
    <w:rsid w:val="79744754"/>
    <w:rsid w:val="7A056307"/>
    <w:rsid w:val="7A1059AD"/>
    <w:rsid w:val="7B0FBDA6"/>
    <w:rsid w:val="7B2B25D5"/>
    <w:rsid w:val="7C414857"/>
    <w:rsid w:val="7CC5E554"/>
    <w:rsid w:val="7CD80F11"/>
    <w:rsid w:val="7CE50B89"/>
    <w:rsid w:val="7D00B4F9"/>
    <w:rsid w:val="7D2D44B8"/>
    <w:rsid w:val="7DECFEBD"/>
    <w:rsid w:val="7DF0DC20"/>
    <w:rsid w:val="7E4AE64F"/>
    <w:rsid w:val="7F9B4126"/>
    <w:rsid w:val="7FB995DE"/>
    <w:rsid w:val="7FDFA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B78DC"/>
  <w15:docId w15:val="{D123B1B0-F581-41F1-AF33-43EF5A04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6A0547"/>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881B8B"/>
    <w:pPr>
      <w:ind w:left="284" w:hanging="284"/>
    </w:pPr>
    <w:rPr>
      <w:b w:val="0"/>
      <w:noProof/>
    </w:rPr>
  </w:style>
  <w:style w:type="paragraph" w:styleId="TOC1">
    <w:name w:val="toc 1"/>
    <w:basedOn w:val="Normal"/>
    <w:next w:val="Normal"/>
    <w:autoRedefine/>
    <w:uiPriority w:val="39"/>
    <w:rsid w:val="0059728A"/>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6"/>
      </w:numPr>
      <w:spacing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59728A"/>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aliases w:val="Footnote,DTE-Voetnoottekst,(NECG) Footnote Text,ALTS FOOTNOTE,Footnote Text Char Char Char,Footnote Text Char1 Char Char,Footnote Text Char Char Char Char Char,Footnote Text Char Char1 Char Char,Footnote Text Char Char1,f,Footnote Text1"/>
    <w:basedOn w:val="Normal"/>
    <w:link w:val="FootnoteTextChar"/>
    <w:uiPriority w:val="99"/>
    <w:unhideWhenUsed/>
    <w:qFormat/>
    <w:rsid w:val="00CF33F6"/>
    <w:pPr>
      <w:spacing w:after="0" w:line="240" w:lineRule="auto"/>
    </w:pPr>
    <w:rPr>
      <w:sz w:val="18"/>
      <w:szCs w:val="20"/>
    </w:rPr>
  </w:style>
  <w:style w:type="character" w:customStyle="1" w:styleId="FootnoteTextChar">
    <w:name w:val="Footnote Text Char"/>
    <w:aliases w:val="Footnote Char,DTE-Voetnoottekst Char,(NECG) Footnote Text Char,ALTS FOOTNOTE Char,Footnote Text Char Char Char Char,Footnote Text Char1 Char Char Char,Footnote Text Char Char Char Char Char Char,Footnote Text Char Char1 Char Char Char"/>
    <w:basedOn w:val="DefaultParagraphFont"/>
    <w:link w:val="FootnoteText"/>
    <w:uiPriority w:val="99"/>
    <w:rsid w:val="00CF33F6"/>
    <w:rPr>
      <w:sz w:val="18"/>
      <w:szCs w:val="20"/>
    </w:rPr>
  </w:style>
  <w:style w:type="character" w:styleId="FootnoteReference">
    <w:name w:val="footnote reference"/>
    <w:aliases w:val="SFG_Footnote_Reference,(NECG) Footnote Reference,Footnote reference,fr,o,Style 6,Style 20,(NECG) Footnote Reference1,(NECG) Footnote Reference2,(NECG) Footnote Reference3,(NECG) Footnote Reference4,(NECG) Footnote Reference5,Style 3"/>
    <w:basedOn w:val="DefaultParagraphFont"/>
    <w:uiPriority w:val="99"/>
    <w:unhideWhenUsed/>
    <w:qFormat/>
    <w:rsid w:val="00E9393A"/>
    <w:rPr>
      <w:vertAlign w:val="superscript"/>
    </w:rPr>
  </w:style>
  <w:style w:type="paragraph" w:customStyle="1" w:styleId="Figure-Table-BoxHeading">
    <w:name w:val="Figure-Table-Box Heading"/>
    <w:link w:val="Figure-Table-BoxHeadingChar"/>
    <w:qFormat/>
    <w:rsid w:val="00CF34D6"/>
    <w:pPr>
      <w:spacing w:before="120" w:after="120" w:line="432"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7"/>
      </w:numPr>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85275E"/>
    <w:pPr>
      <w:numPr>
        <w:ilvl w:val="0"/>
        <w:numId w:val="9"/>
      </w:numPr>
    </w:pPr>
  </w:style>
  <w:style w:type="paragraph" w:customStyle="1" w:styleId="Pull-outListNumber2">
    <w:name w:val="Pull-out List Number 2"/>
    <w:basedOn w:val="Pull-outListNumber1"/>
    <w:qFormat/>
    <w:rsid w:val="00BD19DB"/>
    <w:pPr>
      <w:numPr>
        <w:ilvl w:val="3"/>
        <w:numId w:val="7"/>
      </w:numPr>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rsid w:val="0059728A"/>
    <w:pPr>
      <w:tabs>
        <w:tab w:val="left" w:pos="851"/>
        <w:tab w:val="right" w:pos="9582"/>
      </w:tabs>
      <w:adjustRightInd w:val="0"/>
      <w:spacing w:before="40" w:after="40" w:line="288" w:lineRule="auto"/>
      <w:ind w:left="1134"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936B74"/>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936B74"/>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semiHidden/>
    <w:unhideWhenUsed/>
    <w:rsid w:val="00936B74"/>
    <w:pPr>
      <w:spacing w:before="40" w:after="40" w:line="288" w:lineRule="auto"/>
      <w:ind w:left="1321"/>
    </w:pPr>
  </w:style>
  <w:style w:type="paragraph" w:styleId="TOC8">
    <w:name w:val="toc 8"/>
    <w:basedOn w:val="Normal"/>
    <w:next w:val="Normal"/>
    <w:autoRedefine/>
    <w:uiPriority w:val="39"/>
    <w:semiHidden/>
    <w:unhideWhenUsed/>
    <w:rsid w:val="00936B74"/>
    <w:pPr>
      <w:spacing w:before="40" w:after="40" w:line="288" w:lineRule="auto"/>
      <w:ind w:left="1542"/>
    </w:pPr>
  </w:style>
  <w:style w:type="paragraph" w:styleId="TOC9">
    <w:name w:val="toc 9"/>
    <w:basedOn w:val="Normal"/>
    <w:next w:val="Normal"/>
    <w:autoRedefine/>
    <w:uiPriority w:val="39"/>
    <w:semiHidden/>
    <w:unhideWhenUsed/>
    <w:rsid w:val="00936B74"/>
    <w:pPr>
      <w:spacing w:before="40" w:after="40" w:line="288" w:lineRule="auto"/>
      <w:ind w:left="1758"/>
    </w:pPr>
  </w:style>
  <w:style w:type="character" w:styleId="UnresolvedMention">
    <w:name w:val="Unresolved Mention"/>
    <w:basedOn w:val="DefaultParagraphFont"/>
    <w:uiPriority w:val="99"/>
    <w:semiHidden/>
    <w:unhideWhenUsed/>
    <w:rsid w:val="000B0DD4"/>
    <w:rPr>
      <w:color w:val="605E5C"/>
      <w:shd w:val="clear" w:color="auto" w:fill="E1DFDD"/>
    </w:rPr>
  </w:style>
  <w:style w:type="character" w:styleId="CommentReference">
    <w:name w:val="annotation reference"/>
    <w:basedOn w:val="DefaultParagraphFont"/>
    <w:uiPriority w:val="99"/>
    <w:semiHidden/>
    <w:unhideWhenUsed/>
    <w:rsid w:val="00393CD4"/>
    <w:rPr>
      <w:sz w:val="16"/>
      <w:szCs w:val="16"/>
    </w:rPr>
  </w:style>
  <w:style w:type="paragraph" w:styleId="CommentText">
    <w:name w:val="annotation text"/>
    <w:basedOn w:val="Normal"/>
    <w:link w:val="CommentTextChar"/>
    <w:uiPriority w:val="99"/>
    <w:unhideWhenUsed/>
    <w:rsid w:val="00393CD4"/>
    <w:pPr>
      <w:spacing w:line="240" w:lineRule="auto"/>
    </w:pPr>
    <w:rPr>
      <w:sz w:val="20"/>
      <w:szCs w:val="20"/>
    </w:rPr>
  </w:style>
  <w:style w:type="character" w:customStyle="1" w:styleId="CommentTextChar">
    <w:name w:val="Comment Text Char"/>
    <w:basedOn w:val="DefaultParagraphFont"/>
    <w:link w:val="CommentText"/>
    <w:uiPriority w:val="99"/>
    <w:rsid w:val="00393CD4"/>
    <w:rPr>
      <w:sz w:val="20"/>
      <w:szCs w:val="20"/>
      <w:lang w:val="en-AU"/>
    </w:rPr>
  </w:style>
  <w:style w:type="paragraph" w:styleId="CommentSubject">
    <w:name w:val="annotation subject"/>
    <w:basedOn w:val="CommentText"/>
    <w:next w:val="CommentText"/>
    <w:link w:val="CommentSubjectChar"/>
    <w:uiPriority w:val="99"/>
    <w:semiHidden/>
    <w:unhideWhenUsed/>
    <w:rsid w:val="00393CD4"/>
    <w:rPr>
      <w:b/>
      <w:bCs/>
    </w:rPr>
  </w:style>
  <w:style w:type="character" w:customStyle="1" w:styleId="CommentSubjectChar">
    <w:name w:val="Comment Subject Char"/>
    <w:basedOn w:val="CommentTextChar"/>
    <w:link w:val="CommentSubject"/>
    <w:uiPriority w:val="99"/>
    <w:semiHidden/>
    <w:rsid w:val="00393CD4"/>
    <w:rPr>
      <w:b/>
      <w:bCs/>
      <w:sz w:val="20"/>
      <w:szCs w:val="20"/>
      <w:lang w:val="en-AU"/>
    </w:rPr>
  </w:style>
  <w:style w:type="paragraph" w:styleId="Revision">
    <w:name w:val="Revision"/>
    <w:hidden/>
    <w:uiPriority w:val="99"/>
    <w:semiHidden/>
    <w:rsid w:val="00CA2825"/>
    <w:pPr>
      <w:spacing w:after="0" w:line="240" w:lineRule="auto"/>
    </w:pPr>
    <w:rPr>
      <w:lang w:val="en-AU"/>
    </w:rPr>
  </w:style>
  <w:style w:type="table" w:styleId="TableGridLight">
    <w:name w:val="Grid Table Light"/>
    <w:basedOn w:val="TableNormal"/>
    <w:uiPriority w:val="40"/>
    <w:rsid w:val="00F43D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822643"/>
    <w:rPr>
      <w:color w:val="2B579A"/>
      <w:shd w:val="clear" w:color="auto" w:fill="E1DFDD"/>
    </w:rPr>
  </w:style>
  <w:style w:type="character" w:styleId="FollowedHyperlink">
    <w:name w:val="FollowedHyperlink"/>
    <w:basedOn w:val="DefaultParagraphFont"/>
    <w:uiPriority w:val="99"/>
    <w:semiHidden/>
    <w:unhideWhenUsed/>
    <w:rsid w:val="008E6DA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64565">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980815714">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yperlink" Target="http://www.engage.vic.gov.au/taxireview2024"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sc.vic.gov.au/submiss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mailto:transport@esc.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rba.gov.au/payments-and-infrastructure/review-of-card-payments-regulation/pdf/standard-no-3-of-2016-scheme-rules-relating-to-merchant-pricing-2021-11-18.pdf" TargetMode="External"/><Relationship Id="rId2" Type="http://schemas.openxmlformats.org/officeDocument/2006/relationships/hyperlink" Target="https://www.rba.gov.au/payments-and-infrastructure/review-of-card-payments-regulation/q-and-a/card-payments-regulation-qa-conclusions-paper.html" TargetMode="External"/><Relationship Id="rId1" Type="http://schemas.openxmlformats.org/officeDocument/2006/relationships/hyperlink" Target="https://www.esc.vic.gov.au/sites/default/files/documents/ESC%20Taxi%20Operator%20Survey%20-%20Report%2014%20June%202022%20-Final%20version%20-%20202207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26D8CCC9534309B9B5E9DB9F905536"/>
        <w:category>
          <w:name w:val="General"/>
          <w:gallery w:val="placeholder"/>
        </w:category>
        <w:types>
          <w:type w:val="bbPlcHdr"/>
        </w:types>
        <w:behaviors>
          <w:behavior w:val="content"/>
        </w:behaviors>
        <w:guid w:val="{929608A6-3918-41DB-B90C-E08C06D8411E}"/>
      </w:docPartPr>
      <w:docPartBody>
        <w:p w:rsidR="008C4DE6" w:rsidRDefault="008C4DE6">
          <w:pPr>
            <w:pStyle w:val="0B26D8CCC9534309B9B5E9DB9F905536"/>
          </w:pPr>
          <w:r>
            <w:t xml:space="preserve">  </w:t>
          </w:r>
        </w:p>
      </w:docPartBody>
    </w:docPart>
    <w:docPart>
      <w:docPartPr>
        <w:name w:val="CD34D51FC7ED4B339ADA211D80BD0736"/>
        <w:category>
          <w:name w:val="General"/>
          <w:gallery w:val="placeholder"/>
        </w:category>
        <w:types>
          <w:type w:val="bbPlcHdr"/>
        </w:types>
        <w:behaviors>
          <w:behavior w:val="content"/>
        </w:behaviors>
        <w:guid w:val="{4707C07B-F417-474E-98DB-DB00C68970C5}"/>
      </w:docPartPr>
      <w:docPartBody>
        <w:p w:rsidR="008C4DE6" w:rsidRDefault="008C4DE6">
          <w:pPr>
            <w:pStyle w:val="CD34D51FC7ED4B339ADA211D80BD0736"/>
          </w:pPr>
          <w:r w:rsidRPr="00DA005C">
            <w:t>[Title, use ‘Title’ type style. Content will automatically link to internal footer]</w:t>
          </w:r>
        </w:p>
      </w:docPartBody>
    </w:docPart>
    <w:docPart>
      <w:docPartPr>
        <w:name w:val="497FFFCC3E4C42669754D74AE9ACD1A6"/>
        <w:category>
          <w:name w:val="General"/>
          <w:gallery w:val="placeholder"/>
        </w:category>
        <w:types>
          <w:type w:val="bbPlcHdr"/>
        </w:types>
        <w:behaviors>
          <w:behavior w:val="content"/>
        </w:behaviors>
        <w:guid w:val="{1DF5E685-046C-4885-92CE-584535BF234B}"/>
      </w:docPartPr>
      <w:docPartBody>
        <w:p w:rsidR="008C4DE6" w:rsidRDefault="008C4DE6">
          <w:pPr>
            <w:pStyle w:val="497FFFCC3E4C42669754D74AE9ACD1A6"/>
          </w:pPr>
          <w:r w:rsidRPr="008249C5">
            <w:rPr>
              <w:rStyle w:val="PlaceholderText"/>
            </w:rPr>
            <w:t>[</w:t>
          </w:r>
          <w:r>
            <w:rPr>
              <w:rStyle w:val="PlaceholderText"/>
            </w:rPr>
            <w:t>Subtitle</w:t>
          </w:r>
          <w:r w:rsidRPr="008249C5">
            <w:rPr>
              <w:rStyle w:val="PlaceholderText"/>
            </w:rPr>
            <w:t>]</w:t>
          </w:r>
        </w:p>
      </w:docPartBody>
    </w:docPart>
    <w:docPart>
      <w:docPartPr>
        <w:name w:val="A723C0574D55492B9A7CFA29173E400A"/>
        <w:category>
          <w:name w:val="General"/>
          <w:gallery w:val="placeholder"/>
        </w:category>
        <w:types>
          <w:type w:val="bbPlcHdr"/>
        </w:types>
        <w:behaviors>
          <w:behavior w:val="content"/>
        </w:behaviors>
        <w:guid w:val="{B2C5BB97-D87C-4735-93A8-12F537A6D3B2}"/>
      </w:docPartPr>
      <w:docPartBody>
        <w:p w:rsidR="008C4DE6" w:rsidRDefault="008C4DE6">
          <w:pPr>
            <w:pStyle w:val="A723C0574D55492B9A7CFA29173E400A"/>
          </w:pPr>
          <w:r>
            <w:t>[</w:t>
          </w:r>
          <w:r w:rsidRPr="00615C49">
            <w:t>Click or tap to enter a date</w:t>
          </w:r>
          <w:r>
            <w:t>, or click to manually type custom date]</w:t>
          </w:r>
        </w:p>
      </w:docPartBody>
    </w:docPart>
    <w:docPart>
      <w:docPartPr>
        <w:name w:val="F0144DCCD14F4430B410C534DEC49CFC"/>
        <w:category>
          <w:name w:val="General"/>
          <w:gallery w:val="placeholder"/>
        </w:category>
        <w:types>
          <w:type w:val="bbPlcHdr"/>
        </w:types>
        <w:behaviors>
          <w:behavior w:val="content"/>
        </w:behaviors>
        <w:guid w:val="{F9145317-1F7D-495B-8401-A6F325B7EA43}"/>
      </w:docPartPr>
      <w:docPartBody>
        <w:p w:rsidR="008C4DE6" w:rsidRDefault="008C4DE6">
          <w:pPr>
            <w:pStyle w:val="F0144DCCD14F4430B410C534DEC49CFC"/>
          </w:pPr>
          <w:r w:rsidRPr="00360763">
            <w:rPr>
              <w:highlight w:val="lightGray"/>
            </w:rPr>
            <w:t>[Click to select a year]</w:t>
          </w:r>
        </w:p>
      </w:docPartBody>
    </w:docPart>
    <w:docPart>
      <w:docPartPr>
        <w:name w:val="26784A1D736647D8B114B513D6A59510"/>
        <w:category>
          <w:name w:val="General"/>
          <w:gallery w:val="placeholder"/>
        </w:category>
        <w:types>
          <w:type w:val="bbPlcHdr"/>
        </w:types>
        <w:behaviors>
          <w:behavior w:val="content"/>
        </w:behaviors>
        <w:guid w:val="{36BB0435-05DF-4372-BBC1-9C70CB465966}"/>
      </w:docPartPr>
      <w:docPartBody>
        <w:p w:rsidR="008C4DE6" w:rsidRDefault="008C4DE6">
          <w:pPr>
            <w:pStyle w:val="26784A1D736647D8B114B513D6A59510"/>
          </w:pPr>
          <w:r w:rsidRPr="005F3D90">
            <w:rPr>
              <w:highlight w:val="lightGray"/>
            </w:rPr>
            <w:t>[Title]</w:t>
          </w:r>
        </w:p>
      </w:docPartBody>
    </w:docPart>
    <w:docPart>
      <w:docPartPr>
        <w:name w:val="C3B5F2BDCEE444C89923D06CD3C3F258"/>
        <w:category>
          <w:name w:val="General"/>
          <w:gallery w:val="placeholder"/>
        </w:category>
        <w:types>
          <w:type w:val="bbPlcHdr"/>
        </w:types>
        <w:behaviors>
          <w:behavior w:val="content"/>
        </w:behaviors>
        <w:guid w:val="{5C612B0C-6141-4EE6-8371-E57C5835C17A}"/>
      </w:docPartPr>
      <w:docPartBody>
        <w:p w:rsidR="008C4DE6" w:rsidRDefault="008C4DE6">
          <w:pPr>
            <w:pStyle w:val="C3B5F2BDCEE444C89923D06CD3C3F258"/>
          </w:pPr>
          <w:r w:rsidRPr="00563AD8">
            <w:rPr>
              <w:highlight w:val="lightGray"/>
            </w:rPr>
            <w:t>[Subtitle]</w:t>
          </w:r>
        </w:p>
      </w:docPartBody>
    </w:docPart>
    <w:docPart>
      <w:docPartPr>
        <w:name w:val="AED240F9F4284DE780CFD1F88DF04FC6"/>
        <w:category>
          <w:name w:val="General"/>
          <w:gallery w:val="placeholder"/>
        </w:category>
        <w:types>
          <w:type w:val="bbPlcHdr"/>
        </w:types>
        <w:behaviors>
          <w:behavior w:val="content"/>
        </w:behaviors>
        <w:guid w:val="{6A6BA8AB-CD4D-4EE3-9D50-6D4E93CBB2CE}"/>
      </w:docPartPr>
      <w:docPartBody>
        <w:p w:rsidR="008C4DE6" w:rsidRDefault="008C4DE6">
          <w:pPr>
            <w:pStyle w:val="AED240F9F4284DE780CFD1F88DF04FC6"/>
          </w:pPr>
          <w:r w:rsidRPr="00360763">
            <w:rPr>
              <w:highlight w:val="lightGray"/>
            </w:rPr>
            <w:t>[Click to select a year]</w:t>
          </w:r>
        </w:p>
      </w:docPartBody>
    </w:docPart>
    <w:docPart>
      <w:docPartPr>
        <w:name w:val="487FBD851FCC403582D343AFA8BA353C"/>
        <w:category>
          <w:name w:val="General"/>
          <w:gallery w:val="placeholder"/>
        </w:category>
        <w:types>
          <w:type w:val="bbPlcHdr"/>
        </w:types>
        <w:behaviors>
          <w:behavior w:val="content"/>
        </w:behaviors>
        <w:guid w:val="{186A3B9A-252A-4D57-8A11-1B108806FF7F}"/>
      </w:docPartPr>
      <w:docPartBody>
        <w:p w:rsidR="008C4DE6" w:rsidRDefault="008C4DE6">
          <w:pPr>
            <w:pStyle w:val="487FBD851FCC403582D343AFA8BA353C"/>
          </w:pPr>
          <w:r w:rsidRPr="005F3D90">
            <w:rPr>
              <w:highlight w:val="lightGray"/>
            </w:rPr>
            <w:t>[Title]</w:t>
          </w:r>
        </w:p>
      </w:docPartBody>
    </w:docPart>
    <w:docPart>
      <w:docPartPr>
        <w:name w:val="263E7BA8FD8B4D3FB49F8A47DF3F1C90"/>
        <w:category>
          <w:name w:val="General"/>
          <w:gallery w:val="placeholder"/>
        </w:category>
        <w:types>
          <w:type w:val="bbPlcHdr"/>
        </w:types>
        <w:behaviors>
          <w:behavior w:val="content"/>
        </w:behaviors>
        <w:guid w:val="{3D2108F9-E9F0-4540-B4D4-82509033EF72}"/>
      </w:docPartPr>
      <w:docPartBody>
        <w:p w:rsidR="008C4DE6" w:rsidRDefault="008C4DE6">
          <w:pPr>
            <w:pStyle w:val="263E7BA8FD8B4D3FB49F8A47DF3F1C90"/>
          </w:pPr>
          <w:r>
            <w:t xml:space="preserve">  </w:t>
          </w:r>
        </w:p>
      </w:docPartBody>
    </w:docPart>
    <w:docPart>
      <w:docPartPr>
        <w:name w:val="E8FBB1693C42492B8F8EF5D86554E641"/>
        <w:category>
          <w:name w:val="General"/>
          <w:gallery w:val="placeholder"/>
        </w:category>
        <w:types>
          <w:type w:val="bbPlcHdr"/>
        </w:types>
        <w:behaviors>
          <w:behavior w:val="content"/>
        </w:behaviors>
        <w:guid w:val="{105E4619-780E-4996-9243-93D668489044}"/>
      </w:docPartPr>
      <w:docPartBody>
        <w:p w:rsidR="008C4DE6" w:rsidRDefault="008C4DE6">
          <w:pPr>
            <w:pStyle w:val="E8FBB1693C42492B8F8EF5D86554E641"/>
          </w:pPr>
          <w:r w:rsidRPr="00AD2E14">
            <w:rPr>
              <w:b/>
              <w:highlight w:val="lightGray"/>
            </w:rPr>
            <w:t>[Title]</w:t>
          </w:r>
        </w:p>
      </w:docPartBody>
    </w:docPart>
    <w:docPart>
      <w:docPartPr>
        <w:name w:val="58A60AF94E8F418CA9D9039AA656CE76"/>
        <w:category>
          <w:name w:val="General"/>
          <w:gallery w:val="placeholder"/>
        </w:category>
        <w:types>
          <w:type w:val="bbPlcHdr"/>
        </w:types>
        <w:behaviors>
          <w:behavior w:val="content"/>
        </w:behaviors>
        <w:guid w:val="{E2842075-A29F-4CC6-9CEC-D18EF8841095}"/>
      </w:docPartPr>
      <w:docPartBody>
        <w:p w:rsidR="008C4DE6" w:rsidRDefault="008C4DE6">
          <w:pPr>
            <w:pStyle w:val="58A60AF94E8F418CA9D9039AA656CE76"/>
          </w:pPr>
          <w:r w:rsidRPr="00AD2E14">
            <w:rPr>
              <w:b/>
              <w:highlight w:val="lightGray"/>
            </w:rPr>
            <w:t>[Title]</w:t>
          </w:r>
        </w:p>
      </w:docPartBody>
    </w:docPart>
    <w:docPart>
      <w:docPartPr>
        <w:name w:val="BB9BE0546DA0479FA14CF498A9260DD0"/>
        <w:category>
          <w:name w:val="General"/>
          <w:gallery w:val="placeholder"/>
        </w:category>
        <w:types>
          <w:type w:val="bbPlcHdr"/>
        </w:types>
        <w:behaviors>
          <w:behavior w:val="content"/>
        </w:behaviors>
        <w:guid w:val="{AD1B8798-C67F-4C68-A7F7-6DF9D399539D}"/>
      </w:docPartPr>
      <w:docPartBody>
        <w:p w:rsidR="008C4DE6" w:rsidRDefault="008C4DE6">
          <w:pPr>
            <w:pStyle w:val="BB9BE0546DA0479FA14CF498A9260DD0"/>
          </w:pPr>
          <w:r w:rsidRPr="00AD2E14">
            <w:rPr>
              <w:b/>
              <w:highlight w:val="lightGray"/>
            </w:rPr>
            <w:t>[Title]</w:t>
          </w:r>
        </w:p>
      </w:docPartBody>
    </w:docPart>
    <w:docPart>
      <w:docPartPr>
        <w:name w:val="25829CA3E66540D0959F40C4B2A5C63E"/>
        <w:category>
          <w:name w:val="General"/>
          <w:gallery w:val="placeholder"/>
        </w:category>
        <w:types>
          <w:type w:val="bbPlcHdr"/>
        </w:types>
        <w:behaviors>
          <w:behavior w:val="content"/>
        </w:behaviors>
        <w:guid w:val="{810375E0-B534-412A-AF1F-167AA8302520}"/>
      </w:docPartPr>
      <w:docPartBody>
        <w:p w:rsidR="00863C23" w:rsidRDefault="00863C23">
          <w:pPr>
            <w:pStyle w:val="25829CA3E66540D0959F40C4B2A5C63E"/>
          </w:pPr>
          <w:r w:rsidRPr="005F3D90">
            <w:rPr>
              <w:highlight w:val="lightGray"/>
            </w:rPr>
            <w:t xml:space="preserve">[Click to select </w:t>
          </w:r>
          <w:r>
            <w:rPr>
              <w:highlight w:val="lightGray"/>
            </w:rPr>
            <w:t>a date</w:t>
          </w:r>
          <w:r w:rsidRPr="005F3D90">
            <w:rPr>
              <w:highlight w:val="lightGray"/>
            </w:rPr>
            <w:t>]</w:t>
          </w:r>
        </w:p>
      </w:docPartBody>
    </w:docPart>
    <w:docPart>
      <w:docPartPr>
        <w:name w:val="A5C9828B47E042F3B3DF4D72C930ED07"/>
        <w:category>
          <w:name w:val="General"/>
          <w:gallery w:val="placeholder"/>
        </w:category>
        <w:types>
          <w:type w:val="bbPlcHdr"/>
        </w:types>
        <w:behaviors>
          <w:behavior w:val="content"/>
        </w:behaviors>
        <w:guid w:val="{BF8F4376-6DEA-4F1D-B415-F1D6075FB0A2}"/>
      </w:docPartPr>
      <w:docPartBody>
        <w:p w:rsidR="00F676AC" w:rsidRDefault="006C26BE" w:rsidP="006C26BE">
          <w:pPr>
            <w:pStyle w:val="A5C9828B47E042F3B3DF4D72C930ED07"/>
          </w:pPr>
          <w:r w:rsidRPr="00AD2E14">
            <w:rPr>
              <w:b/>
              <w:highlight w:val="lightGray"/>
            </w:rPr>
            <w:t>[Title]</w:t>
          </w:r>
        </w:p>
      </w:docPartBody>
    </w:docPart>
    <w:docPart>
      <w:docPartPr>
        <w:name w:val="97600D4904D5496B85610AE43DB4E98D"/>
        <w:category>
          <w:name w:val="General"/>
          <w:gallery w:val="placeholder"/>
        </w:category>
        <w:types>
          <w:type w:val="bbPlcHdr"/>
        </w:types>
        <w:behaviors>
          <w:behavior w:val="content"/>
        </w:behaviors>
        <w:guid w:val="{16B5DA62-DB36-44B9-8DD9-66D0CA30E966}"/>
      </w:docPartPr>
      <w:docPartBody>
        <w:p w:rsidR="00F676AC" w:rsidRDefault="006C26BE" w:rsidP="006C26BE">
          <w:pPr>
            <w:pStyle w:val="97600D4904D5496B85610AE43DB4E98D"/>
          </w:pPr>
          <w:r w:rsidRPr="00AD2E14">
            <w:rPr>
              <w:b/>
              <w:highlight w:val="lightGray"/>
            </w:rPr>
            <w:t>[Title]</w:t>
          </w:r>
        </w:p>
      </w:docPartBody>
    </w:docPart>
    <w:docPart>
      <w:docPartPr>
        <w:name w:val="4FFC4F4A07944176987608D78387DA24"/>
        <w:category>
          <w:name w:val="General"/>
          <w:gallery w:val="placeholder"/>
        </w:category>
        <w:types>
          <w:type w:val="bbPlcHdr"/>
        </w:types>
        <w:behaviors>
          <w:behavior w:val="content"/>
        </w:behaviors>
        <w:guid w:val="{1E59F9C6-AD89-4ABB-837B-562898036631}"/>
      </w:docPartPr>
      <w:docPartBody>
        <w:p w:rsidR="00F676AC" w:rsidRDefault="006C26BE" w:rsidP="006C26BE">
          <w:pPr>
            <w:pStyle w:val="4FFC4F4A07944176987608D78387DA24"/>
          </w:pPr>
          <w:r w:rsidRPr="00AD2E14">
            <w:rPr>
              <w:b/>
              <w:highlight w:val="lightGray"/>
            </w:rPr>
            <w:t>[Title]</w:t>
          </w:r>
        </w:p>
      </w:docPartBody>
    </w:docPart>
    <w:docPart>
      <w:docPartPr>
        <w:name w:val="A30E85DF6488492385A58EAF5DD6513E"/>
        <w:category>
          <w:name w:val="General"/>
          <w:gallery w:val="placeholder"/>
        </w:category>
        <w:types>
          <w:type w:val="bbPlcHdr"/>
        </w:types>
        <w:behaviors>
          <w:behavior w:val="content"/>
        </w:behaviors>
        <w:guid w:val="{FAB3334B-CEF8-4545-A71E-A4E9C9F51F01}"/>
      </w:docPartPr>
      <w:docPartBody>
        <w:p w:rsidR="00F676AC" w:rsidRDefault="006C26BE" w:rsidP="006C26BE">
          <w:pPr>
            <w:pStyle w:val="A30E85DF6488492385A58EAF5DD6513E"/>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E6"/>
    <w:rsid w:val="00044F50"/>
    <w:rsid w:val="000E2F40"/>
    <w:rsid w:val="001F598B"/>
    <w:rsid w:val="00207D26"/>
    <w:rsid w:val="002704E7"/>
    <w:rsid w:val="003429BA"/>
    <w:rsid w:val="003574F2"/>
    <w:rsid w:val="003D613D"/>
    <w:rsid w:val="004700C1"/>
    <w:rsid w:val="0052463C"/>
    <w:rsid w:val="00571D6C"/>
    <w:rsid w:val="006819EF"/>
    <w:rsid w:val="006C26BE"/>
    <w:rsid w:val="00716E65"/>
    <w:rsid w:val="00755563"/>
    <w:rsid w:val="008346A9"/>
    <w:rsid w:val="0085077F"/>
    <w:rsid w:val="00863C23"/>
    <w:rsid w:val="008768B5"/>
    <w:rsid w:val="008857BE"/>
    <w:rsid w:val="008C4DE6"/>
    <w:rsid w:val="00902339"/>
    <w:rsid w:val="00923927"/>
    <w:rsid w:val="0097211A"/>
    <w:rsid w:val="00A21CF6"/>
    <w:rsid w:val="00AD6335"/>
    <w:rsid w:val="00AF4036"/>
    <w:rsid w:val="00AF745D"/>
    <w:rsid w:val="00BF0517"/>
    <w:rsid w:val="00C00001"/>
    <w:rsid w:val="00C15CD6"/>
    <w:rsid w:val="00D13748"/>
    <w:rsid w:val="00D67BE2"/>
    <w:rsid w:val="00DD4CD9"/>
    <w:rsid w:val="00DD7BBB"/>
    <w:rsid w:val="00E31929"/>
    <w:rsid w:val="00E8267A"/>
    <w:rsid w:val="00F01286"/>
    <w:rsid w:val="00F06C7F"/>
    <w:rsid w:val="00F36487"/>
    <w:rsid w:val="00F41FDD"/>
    <w:rsid w:val="00F4524A"/>
    <w:rsid w:val="00F676AC"/>
    <w:rsid w:val="00F7180E"/>
    <w:rsid w:val="00F856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344B31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6D8CCC9534309B9B5E9DB9F905536">
    <w:name w:val="0B26D8CCC9534309B9B5E9DB9F905536"/>
  </w:style>
  <w:style w:type="paragraph" w:customStyle="1" w:styleId="CD34D51FC7ED4B339ADA211D80BD0736">
    <w:name w:val="CD34D51FC7ED4B339ADA211D80BD0736"/>
  </w:style>
  <w:style w:type="character" w:styleId="PlaceholderText">
    <w:name w:val="Placeholder Text"/>
    <w:basedOn w:val="DefaultParagraphFont"/>
    <w:uiPriority w:val="99"/>
    <w:semiHidden/>
    <w:rPr>
      <w:color w:val="808080"/>
    </w:rPr>
  </w:style>
  <w:style w:type="paragraph" w:customStyle="1" w:styleId="497FFFCC3E4C42669754D74AE9ACD1A6">
    <w:name w:val="497FFFCC3E4C42669754D74AE9ACD1A6"/>
  </w:style>
  <w:style w:type="paragraph" w:customStyle="1" w:styleId="A723C0574D55492B9A7CFA29173E400A">
    <w:name w:val="A723C0574D55492B9A7CFA29173E400A"/>
  </w:style>
  <w:style w:type="paragraph" w:customStyle="1" w:styleId="F0144DCCD14F4430B410C534DEC49CFC">
    <w:name w:val="F0144DCCD14F4430B410C534DEC49CFC"/>
  </w:style>
  <w:style w:type="paragraph" w:customStyle="1" w:styleId="26784A1D736647D8B114B513D6A59510">
    <w:name w:val="26784A1D736647D8B114B513D6A59510"/>
  </w:style>
  <w:style w:type="paragraph" w:customStyle="1" w:styleId="C3B5F2BDCEE444C89923D06CD3C3F258">
    <w:name w:val="C3B5F2BDCEE444C89923D06CD3C3F258"/>
  </w:style>
  <w:style w:type="paragraph" w:customStyle="1" w:styleId="AED240F9F4284DE780CFD1F88DF04FC6">
    <w:name w:val="AED240F9F4284DE780CFD1F88DF04FC6"/>
  </w:style>
  <w:style w:type="paragraph" w:customStyle="1" w:styleId="487FBD851FCC403582D343AFA8BA353C">
    <w:name w:val="487FBD851FCC403582D343AFA8BA353C"/>
  </w:style>
  <w:style w:type="paragraph" w:customStyle="1" w:styleId="263E7BA8FD8B4D3FB49F8A47DF3F1C90">
    <w:name w:val="263E7BA8FD8B4D3FB49F8A47DF3F1C90"/>
  </w:style>
  <w:style w:type="paragraph" w:customStyle="1" w:styleId="E8FBB1693C42492B8F8EF5D86554E641">
    <w:name w:val="E8FBB1693C42492B8F8EF5D86554E641"/>
  </w:style>
  <w:style w:type="paragraph" w:customStyle="1" w:styleId="58A60AF94E8F418CA9D9039AA656CE76">
    <w:name w:val="58A60AF94E8F418CA9D9039AA656CE76"/>
  </w:style>
  <w:style w:type="paragraph" w:customStyle="1" w:styleId="BB9BE0546DA0479FA14CF498A9260DD0">
    <w:name w:val="BB9BE0546DA0479FA14CF498A9260DD0"/>
  </w:style>
  <w:style w:type="paragraph" w:customStyle="1" w:styleId="25829CA3E66540D0959F40C4B2A5C63E">
    <w:name w:val="25829CA3E66540D0959F40C4B2A5C63E"/>
    <w:rPr>
      <w:kern w:val="2"/>
      <w14:ligatures w14:val="standardContextual"/>
    </w:rPr>
  </w:style>
  <w:style w:type="paragraph" w:customStyle="1" w:styleId="A5C9828B47E042F3B3DF4D72C930ED07">
    <w:name w:val="A5C9828B47E042F3B3DF4D72C930ED07"/>
    <w:rsid w:val="006C26BE"/>
    <w:rPr>
      <w:kern w:val="2"/>
      <w14:ligatures w14:val="standardContextual"/>
    </w:rPr>
  </w:style>
  <w:style w:type="paragraph" w:customStyle="1" w:styleId="97600D4904D5496B85610AE43DB4E98D">
    <w:name w:val="97600D4904D5496B85610AE43DB4E98D"/>
    <w:rsid w:val="006C26BE"/>
    <w:rPr>
      <w:kern w:val="2"/>
      <w14:ligatures w14:val="standardContextual"/>
    </w:rPr>
  </w:style>
  <w:style w:type="paragraph" w:customStyle="1" w:styleId="4FFC4F4A07944176987608D78387DA24">
    <w:name w:val="4FFC4F4A07944176987608D78387DA24"/>
    <w:rsid w:val="006C26BE"/>
    <w:rPr>
      <w:kern w:val="2"/>
      <w14:ligatures w14:val="standardContextual"/>
    </w:rPr>
  </w:style>
  <w:style w:type="paragraph" w:customStyle="1" w:styleId="A30E85DF6488492385A58EAF5DD6513E">
    <w:name w:val="A30E85DF6488492385A58EAF5DD6513E"/>
    <w:rsid w:val="006C26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4fbf8de-3250-4a5a-bae8-d57f1e3a24ef">
      <UserInfo>
        <DisplayName>Marcus Crudden (ESC)</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F79D47A3BF7B408B434098A259DFF3" ma:contentTypeVersion="5" ma:contentTypeDescription="Create a new document." ma:contentTypeScope="" ma:versionID="eeca9515b5e39ce86cfe64daa4908db3">
  <xsd:schema xmlns:xsd="http://www.w3.org/2001/XMLSchema" xmlns:xs="http://www.w3.org/2001/XMLSchema" xmlns:p="http://schemas.microsoft.com/office/2006/metadata/properties" xmlns:ns2="c4968f4f-4283-4438-b250-a2bc27aa04e9" xmlns:ns3="a4fbf8de-3250-4a5a-bae8-d57f1e3a24ef" targetNamespace="http://schemas.microsoft.com/office/2006/metadata/properties" ma:root="true" ma:fieldsID="339a3a735ed25b5ba2e02a1073c4cd10" ns2:_="" ns3:_="">
    <xsd:import namespace="c4968f4f-4283-4438-b250-a2bc27aa04e9"/>
    <xsd:import namespace="a4fbf8de-3250-4a5a-bae8-d57f1e3a24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68f4f-4283-4438-b250-a2bc27aa0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bf8de-3250-4a5a-bae8-d57f1e3a24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customXml/itemProps2.xml><?xml version="1.0" encoding="utf-8"?>
<ds:datastoreItem xmlns:ds="http://schemas.openxmlformats.org/officeDocument/2006/customXml" ds:itemID="{9CD3F6D7-40F0-41FF-91B1-8E4A84110C07}">
  <ds:schemaRefs>
    <ds:schemaRef ds:uri="http://schemas.microsoft.com/office/2006/metadata/properties"/>
    <ds:schemaRef ds:uri="http://schemas.microsoft.com/office/infopath/2007/PartnerControls"/>
    <ds:schemaRef ds:uri="a4fbf8de-3250-4a5a-bae8-d57f1e3a24ef"/>
  </ds:schemaRefs>
</ds:datastoreItem>
</file>

<file path=customXml/itemProps3.xml><?xml version="1.0" encoding="utf-8"?>
<ds:datastoreItem xmlns:ds="http://schemas.openxmlformats.org/officeDocument/2006/customXml" ds:itemID="{1C5CADFF-3D42-4571-B131-F085ACCB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68f4f-4283-4438-b250-a2bc27aa04e9"/>
    <ds:schemaRef ds:uri="a4fbf8de-3250-4a5a-bae8-d57f1e3a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67437-4352-4FBC-901B-C15C388F3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7199</Words>
  <Characters>38221</Characters>
  <Application>Microsoft Office Word</Application>
  <DocSecurity>4</DocSecurity>
  <Lines>910</Lines>
  <Paragraphs>517</Paragraphs>
  <ScaleCrop>false</ScaleCrop>
  <Company/>
  <LinksUpToDate>false</LinksUpToDate>
  <CharactersWithSpaces>45057</CharactersWithSpaces>
  <SharedDoc>false</SharedDoc>
  <HLinks>
    <vt:vector size="126" baseType="variant">
      <vt:variant>
        <vt:i4>720922</vt:i4>
      </vt:variant>
      <vt:variant>
        <vt:i4>102</vt:i4>
      </vt:variant>
      <vt:variant>
        <vt:i4>0</vt:i4>
      </vt:variant>
      <vt:variant>
        <vt:i4>5</vt:i4>
      </vt:variant>
      <vt:variant>
        <vt:lpwstr>http://www.esc.vic.gov.au/submissions</vt:lpwstr>
      </vt:variant>
      <vt:variant>
        <vt:lpwstr/>
      </vt:variant>
      <vt:variant>
        <vt:i4>8126543</vt:i4>
      </vt:variant>
      <vt:variant>
        <vt:i4>99</vt:i4>
      </vt:variant>
      <vt:variant>
        <vt:i4>0</vt:i4>
      </vt:variant>
      <vt:variant>
        <vt:i4>5</vt:i4>
      </vt:variant>
      <vt:variant>
        <vt:lpwstr>mailto:transport@esc.vic.gov.au</vt:lpwstr>
      </vt:variant>
      <vt:variant>
        <vt:lpwstr/>
      </vt:variant>
      <vt:variant>
        <vt:i4>1245241</vt:i4>
      </vt:variant>
      <vt:variant>
        <vt:i4>92</vt:i4>
      </vt:variant>
      <vt:variant>
        <vt:i4>0</vt:i4>
      </vt:variant>
      <vt:variant>
        <vt:i4>5</vt:i4>
      </vt:variant>
      <vt:variant>
        <vt:lpwstr/>
      </vt:variant>
      <vt:variant>
        <vt:lpwstr>_Toc148433378</vt:lpwstr>
      </vt:variant>
      <vt:variant>
        <vt:i4>1245241</vt:i4>
      </vt:variant>
      <vt:variant>
        <vt:i4>86</vt:i4>
      </vt:variant>
      <vt:variant>
        <vt:i4>0</vt:i4>
      </vt:variant>
      <vt:variant>
        <vt:i4>5</vt:i4>
      </vt:variant>
      <vt:variant>
        <vt:lpwstr/>
      </vt:variant>
      <vt:variant>
        <vt:lpwstr>_Toc148433377</vt:lpwstr>
      </vt:variant>
      <vt:variant>
        <vt:i4>1245241</vt:i4>
      </vt:variant>
      <vt:variant>
        <vt:i4>80</vt:i4>
      </vt:variant>
      <vt:variant>
        <vt:i4>0</vt:i4>
      </vt:variant>
      <vt:variant>
        <vt:i4>5</vt:i4>
      </vt:variant>
      <vt:variant>
        <vt:lpwstr/>
      </vt:variant>
      <vt:variant>
        <vt:lpwstr>_Toc148433373</vt:lpwstr>
      </vt:variant>
      <vt:variant>
        <vt:i4>1245241</vt:i4>
      </vt:variant>
      <vt:variant>
        <vt:i4>74</vt:i4>
      </vt:variant>
      <vt:variant>
        <vt:i4>0</vt:i4>
      </vt:variant>
      <vt:variant>
        <vt:i4>5</vt:i4>
      </vt:variant>
      <vt:variant>
        <vt:lpwstr/>
      </vt:variant>
      <vt:variant>
        <vt:lpwstr>_Toc148433370</vt:lpwstr>
      </vt:variant>
      <vt:variant>
        <vt:i4>1179705</vt:i4>
      </vt:variant>
      <vt:variant>
        <vt:i4>68</vt:i4>
      </vt:variant>
      <vt:variant>
        <vt:i4>0</vt:i4>
      </vt:variant>
      <vt:variant>
        <vt:i4>5</vt:i4>
      </vt:variant>
      <vt:variant>
        <vt:lpwstr/>
      </vt:variant>
      <vt:variant>
        <vt:lpwstr>_Toc148433366</vt:lpwstr>
      </vt:variant>
      <vt:variant>
        <vt:i4>1179705</vt:i4>
      </vt:variant>
      <vt:variant>
        <vt:i4>62</vt:i4>
      </vt:variant>
      <vt:variant>
        <vt:i4>0</vt:i4>
      </vt:variant>
      <vt:variant>
        <vt:i4>5</vt:i4>
      </vt:variant>
      <vt:variant>
        <vt:lpwstr/>
      </vt:variant>
      <vt:variant>
        <vt:lpwstr>_Toc148433365</vt:lpwstr>
      </vt:variant>
      <vt:variant>
        <vt:i4>1179705</vt:i4>
      </vt:variant>
      <vt:variant>
        <vt:i4>56</vt:i4>
      </vt:variant>
      <vt:variant>
        <vt:i4>0</vt:i4>
      </vt:variant>
      <vt:variant>
        <vt:i4>5</vt:i4>
      </vt:variant>
      <vt:variant>
        <vt:lpwstr/>
      </vt:variant>
      <vt:variant>
        <vt:lpwstr>_Toc148433364</vt:lpwstr>
      </vt:variant>
      <vt:variant>
        <vt:i4>1179705</vt:i4>
      </vt:variant>
      <vt:variant>
        <vt:i4>50</vt:i4>
      </vt:variant>
      <vt:variant>
        <vt:i4>0</vt:i4>
      </vt:variant>
      <vt:variant>
        <vt:i4>5</vt:i4>
      </vt:variant>
      <vt:variant>
        <vt:lpwstr/>
      </vt:variant>
      <vt:variant>
        <vt:lpwstr>_Toc148433363</vt:lpwstr>
      </vt:variant>
      <vt:variant>
        <vt:i4>1179705</vt:i4>
      </vt:variant>
      <vt:variant>
        <vt:i4>44</vt:i4>
      </vt:variant>
      <vt:variant>
        <vt:i4>0</vt:i4>
      </vt:variant>
      <vt:variant>
        <vt:i4>5</vt:i4>
      </vt:variant>
      <vt:variant>
        <vt:lpwstr/>
      </vt:variant>
      <vt:variant>
        <vt:lpwstr>_Toc148433360</vt:lpwstr>
      </vt:variant>
      <vt:variant>
        <vt:i4>1114169</vt:i4>
      </vt:variant>
      <vt:variant>
        <vt:i4>38</vt:i4>
      </vt:variant>
      <vt:variant>
        <vt:i4>0</vt:i4>
      </vt:variant>
      <vt:variant>
        <vt:i4>5</vt:i4>
      </vt:variant>
      <vt:variant>
        <vt:lpwstr/>
      </vt:variant>
      <vt:variant>
        <vt:lpwstr>_Toc148433358</vt:lpwstr>
      </vt:variant>
      <vt:variant>
        <vt:i4>1114169</vt:i4>
      </vt:variant>
      <vt:variant>
        <vt:i4>32</vt:i4>
      </vt:variant>
      <vt:variant>
        <vt:i4>0</vt:i4>
      </vt:variant>
      <vt:variant>
        <vt:i4>5</vt:i4>
      </vt:variant>
      <vt:variant>
        <vt:lpwstr/>
      </vt:variant>
      <vt:variant>
        <vt:lpwstr>_Toc148433357</vt:lpwstr>
      </vt:variant>
      <vt:variant>
        <vt:i4>1114169</vt:i4>
      </vt:variant>
      <vt:variant>
        <vt:i4>26</vt:i4>
      </vt:variant>
      <vt:variant>
        <vt:i4>0</vt:i4>
      </vt:variant>
      <vt:variant>
        <vt:i4>5</vt:i4>
      </vt:variant>
      <vt:variant>
        <vt:lpwstr/>
      </vt:variant>
      <vt:variant>
        <vt:lpwstr>_Toc148433353</vt:lpwstr>
      </vt:variant>
      <vt:variant>
        <vt:i4>1114169</vt:i4>
      </vt:variant>
      <vt:variant>
        <vt:i4>20</vt:i4>
      </vt:variant>
      <vt:variant>
        <vt:i4>0</vt:i4>
      </vt:variant>
      <vt:variant>
        <vt:i4>5</vt:i4>
      </vt:variant>
      <vt:variant>
        <vt:lpwstr/>
      </vt:variant>
      <vt:variant>
        <vt:lpwstr>_Toc148433350</vt:lpwstr>
      </vt:variant>
      <vt:variant>
        <vt:i4>1048633</vt:i4>
      </vt:variant>
      <vt:variant>
        <vt:i4>14</vt:i4>
      </vt:variant>
      <vt:variant>
        <vt:i4>0</vt:i4>
      </vt:variant>
      <vt:variant>
        <vt:i4>5</vt:i4>
      </vt:variant>
      <vt:variant>
        <vt:lpwstr/>
      </vt:variant>
      <vt:variant>
        <vt:lpwstr>_Toc148433347</vt:lpwstr>
      </vt:variant>
      <vt:variant>
        <vt:i4>1048633</vt:i4>
      </vt:variant>
      <vt:variant>
        <vt:i4>8</vt:i4>
      </vt:variant>
      <vt:variant>
        <vt:i4>0</vt:i4>
      </vt:variant>
      <vt:variant>
        <vt:i4>5</vt:i4>
      </vt:variant>
      <vt:variant>
        <vt:lpwstr/>
      </vt:variant>
      <vt:variant>
        <vt:lpwstr>_Toc148433345</vt:lpwstr>
      </vt:variant>
      <vt:variant>
        <vt:i4>1048633</vt:i4>
      </vt:variant>
      <vt:variant>
        <vt:i4>2</vt:i4>
      </vt:variant>
      <vt:variant>
        <vt:i4>0</vt:i4>
      </vt:variant>
      <vt:variant>
        <vt:i4>5</vt:i4>
      </vt:variant>
      <vt:variant>
        <vt:lpwstr/>
      </vt:variant>
      <vt:variant>
        <vt:lpwstr>_Toc148433344</vt:lpwstr>
      </vt:variant>
      <vt:variant>
        <vt:i4>852048</vt:i4>
      </vt:variant>
      <vt:variant>
        <vt:i4>6</vt:i4>
      </vt:variant>
      <vt:variant>
        <vt:i4>0</vt:i4>
      </vt:variant>
      <vt:variant>
        <vt:i4>5</vt:i4>
      </vt:variant>
      <vt:variant>
        <vt:lpwstr>https://www.rba.gov.au/payments-and-infrastructure/review-of-card-payments-regulation/pdf/standard-no-3-of-2016-scheme-rules-relating-to-merchant-pricing-2021-11-18.pdf</vt:lpwstr>
      </vt:variant>
      <vt:variant>
        <vt:lpwstr/>
      </vt:variant>
      <vt:variant>
        <vt:i4>1114180</vt:i4>
      </vt:variant>
      <vt:variant>
        <vt:i4>3</vt:i4>
      </vt:variant>
      <vt:variant>
        <vt:i4>0</vt:i4>
      </vt:variant>
      <vt:variant>
        <vt:i4>5</vt:i4>
      </vt:variant>
      <vt:variant>
        <vt:lpwstr>https://www.rba.gov.au/payments-and-infrastructure/review-of-card-payments-regulation/q-and-a/card-payments-regulation-qa-conclusions-paper.html</vt:lpwstr>
      </vt:variant>
      <vt:variant>
        <vt:lpwstr>surcharging-consumers-q4</vt:lpwstr>
      </vt:variant>
      <vt:variant>
        <vt:i4>720901</vt:i4>
      </vt:variant>
      <vt:variant>
        <vt:i4>0</vt:i4>
      </vt:variant>
      <vt:variant>
        <vt:i4>0</vt:i4>
      </vt:variant>
      <vt:variant>
        <vt:i4>5</vt:i4>
      </vt:variant>
      <vt:variant>
        <vt:lpwstr>https://www.esc.vic.gov.au/sites/default/files/documents/ESC Taxi Operator Survey - Report 14 June 2022 -Final version - 20220719.pdf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reviews 2024: unbooked taxi fares and non-cash payment surcharge</dc:title>
  <dc:subject/>
  <dc:creator>Joel Eversham (ESC)</dc:creator>
  <cp:keywords>[SEC=UNOFFICIAL]</cp:keywords>
  <dc:description>Consultation paper</dc:description>
  <cp:lastModifiedBy>Joel Eversham (ESC)</cp:lastModifiedBy>
  <cp:revision>2</cp:revision>
  <cp:lastPrinted>2023-10-08T07:48:00Z</cp:lastPrinted>
  <dcterms:created xsi:type="dcterms:W3CDTF">2023-10-26T04:10:00Z</dcterms:created>
  <dcterms:modified xsi:type="dcterms:W3CDTF">2023-10-26T04:10:00Z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B70B2F8E94094CE1BD778566C822CC4F</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UNOFFICIAL</vt:lpwstr>
  </property>
  <property fmtid="{D5CDD505-2E9C-101B-9397-08002B2CF9AE}" pid="22" name="PM_Qualifier_Prev">
    <vt:lpwstr/>
  </property>
  <property fmtid="{D5CDD505-2E9C-101B-9397-08002B2CF9AE}" pid="23" name="ContentTypeId">
    <vt:lpwstr>0x010100DAF79D47A3BF7B408B434098A259DFF3</vt:lpwstr>
  </property>
  <property fmtid="{D5CDD505-2E9C-101B-9397-08002B2CF9AE}" pid="24" name="PM_Originator_Hash_SHA1">
    <vt:lpwstr>DC3E054FAA70B0591FAE1B666BAEC931E16F73D8</vt:lpwstr>
  </property>
  <property fmtid="{D5CDD505-2E9C-101B-9397-08002B2CF9AE}" pid="25" name="PM_OriginatorUserAccountName_SHA256">
    <vt:lpwstr>B0E41C6945DDF5406A32EA8D590342DC66432653C98914DB11757DDAFF35C5CC</vt:lpwstr>
  </property>
  <property fmtid="{D5CDD505-2E9C-101B-9397-08002B2CF9AE}" pid="26" name="PM_OriginationTimeStamp">
    <vt:lpwstr>2023-10-26T04:10:03Z</vt:lpwstr>
  </property>
  <property fmtid="{D5CDD505-2E9C-101B-9397-08002B2CF9AE}" pid="27" name="PM_Hash_Salt_Prev">
    <vt:lpwstr>F6C2AA8E960C6B2369440C2BAE842E91</vt:lpwstr>
  </property>
  <property fmtid="{D5CDD505-2E9C-101B-9397-08002B2CF9AE}" pid="28" name="PM_Hash_Salt">
    <vt:lpwstr>16B93E0251C8F7D2FB2E6D7A162CF3F3</vt:lpwstr>
  </property>
  <property fmtid="{D5CDD505-2E9C-101B-9397-08002B2CF9AE}" pid="29" name="PM_Hash_SHA1">
    <vt:lpwstr>929E6D4DBF1993A10E80E97774C158F9A763E4A8</vt:lpwstr>
  </property>
</Properties>
</file>